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BD01" w14:textId="5465D990" w:rsidR="00C42DE6" w:rsidRPr="00C42DE6" w:rsidRDefault="00C42DE6">
      <w:pPr>
        <w:jc w:val="both"/>
        <w:rPr>
          <w:rFonts w:ascii="Arial" w:hAnsi="Arial" w:cs="Arial"/>
          <w:color w:val="000000"/>
          <w:sz w:val="22"/>
          <w:szCs w:val="22"/>
          <w:u w:val="single"/>
          <w:lang w:eastAsia="de-DE"/>
        </w:rPr>
      </w:pPr>
      <w:r>
        <w:rPr>
          <w:rFonts w:ascii="Arial" w:hAnsi="Arial" w:cs="Arial"/>
          <w:color w:val="000000"/>
          <w:sz w:val="22"/>
          <w:szCs w:val="22"/>
          <w:u w:val="single"/>
          <w:lang w:eastAsia="de-DE"/>
        </w:rPr>
        <w:t>Geschäftsbericht 2022</w:t>
      </w:r>
    </w:p>
    <w:p w14:paraId="003E81D0" w14:textId="77777777" w:rsidR="00C42DE6" w:rsidRDefault="00B172A2">
      <w:pPr>
        <w:jc w:val="both"/>
        <w:rPr>
          <w:rFonts w:ascii="Arial" w:hAnsi="Arial" w:cs="Arial"/>
          <w:color w:val="000000"/>
          <w:sz w:val="22"/>
          <w:szCs w:val="22"/>
          <w:lang w:eastAsia="de-DE"/>
        </w:rPr>
      </w:pPr>
      <w:r>
        <w:rPr>
          <w:rFonts w:ascii="Arial" w:hAnsi="Arial" w:cs="Arial"/>
          <w:color w:val="000000"/>
          <w:sz w:val="22"/>
          <w:szCs w:val="22"/>
          <w:lang w:eastAsia="de-DE"/>
        </w:rPr>
        <w:t>Wie schon im dritten Quartal des Geschäftsjahres 2021 führte Philipp Kastell die Semesterbestellungen im Geschäftsjahr 2022 fort. Johannes Wolf war dabei beraten tätig, führt das Rechnungswesen bzgl. aller Rechnungen, die durch Bestellungen des Einkaufes zustande kamen und übernahm in Absprache mit Johanna Pahl die Koordinierung von Kooperationen</w:t>
      </w:r>
      <w:r w:rsidR="00C42DE6">
        <w:rPr>
          <w:rFonts w:ascii="Arial" w:hAnsi="Arial" w:cs="Arial"/>
          <w:color w:val="000000"/>
          <w:sz w:val="22"/>
          <w:szCs w:val="22"/>
          <w:lang w:eastAsia="de-DE"/>
        </w:rPr>
        <w:t xml:space="preserve"> insb. mit dem Marburger Bund</w:t>
      </w:r>
      <w:r>
        <w:rPr>
          <w:rFonts w:ascii="Arial" w:hAnsi="Arial" w:cs="Arial"/>
          <w:color w:val="000000"/>
          <w:sz w:val="22"/>
          <w:szCs w:val="22"/>
          <w:lang w:eastAsia="de-DE"/>
        </w:rPr>
        <w:t xml:space="preserve">. Die letzten beiden Aufgabenbereiche werden spätestens im zweiten Quartal des Geschäftsjahres 2023 von Philipp Kastell übernommen, damit Johannes Wolf zur Generalversammlung aus dem Vorstand ausscheiden kann. </w:t>
      </w:r>
    </w:p>
    <w:p w14:paraId="1470E5E7" w14:textId="77777777" w:rsidR="00C42DE6" w:rsidRDefault="00C42DE6">
      <w:pPr>
        <w:jc w:val="both"/>
        <w:rPr>
          <w:rFonts w:ascii="Arial" w:hAnsi="Arial" w:cs="Arial"/>
          <w:color w:val="000000"/>
          <w:sz w:val="22"/>
          <w:szCs w:val="22"/>
          <w:lang w:eastAsia="de-DE"/>
        </w:rPr>
      </w:pPr>
    </w:p>
    <w:p w14:paraId="4D68223A" w14:textId="41943389" w:rsidR="00B172A2" w:rsidRDefault="00475E2E">
      <w:pPr>
        <w:jc w:val="both"/>
        <w:rPr>
          <w:rFonts w:ascii="Arial" w:hAnsi="Arial" w:cs="Arial"/>
          <w:color w:val="000000"/>
          <w:sz w:val="22"/>
          <w:szCs w:val="22"/>
          <w:lang w:eastAsia="de-DE"/>
        </w:rPr>
      </w:pPr>
      <w:r>
        <w:rPr>
          <w:rFonts w:ascii="Arial" w:hAnsi="Arial" w:cs="Arial"/>
          <w:color w:val="000000"/>
          <w:sz w:val="22"/>
          <w:szCs w:val="22"/>
          <w:lang w:eastAsia="de-DE"/>
        </w:rPr>
        <w:t>Bei den Semesterbestellung kam es in fast allen Produktbereichen zu einer höheren Stückzahl, insbesondere die Arztkittel mit einer Steigerung von ~115%</w:t>
      </w:r>
      <w:r w:rsidR="00C42DE6">
        <w:rPr>
          <w:rFonts w:ascii="Arial" w:hAnsi="Arial" w:cs="Arial"/>
          <w:color w:val="000000"/>
          <w:sz w:val="22"/>
          <w:szCs w:val="22"/>
          <w:lang w:eastAsia="de-DE"/>
        </w:rPr>
        <w:t>,</w:t>
      </w:r>
      <w:r>
        <w:rPr>
          <w:rFonts w:ascii="Arial" w:hAnsi="Arial" w:cs="Arial"/>
          <w:color w:val="000000"/>
          <w:sz w:val="22"/>
          <w:szCs w:val="22"/>
          <w:lang w:eastAsia="de-DE"/>
        </w:rPr>
        <w:t xml:space="preserve"> fallen auf. Die höheren Stückzahlen bei den Bestellungen lässt sich vermutlich auf den Wegfall der Coronamaßnahmen zurückführen und den damit wiederstattfindenden Präsenzveranstaltungen an den Universitäten. Zudem wurde die HSG Heidelberg um den Studiengang der </w:t>
      </w:r>
      <w:proofErr w:type="spellStart"/>
      <w:r>
        <w:rPr>
          <w:rFonts w:ascii="Arial" w:hAnsi="Arial" w:cs="Arial"/>
          <w:color w:val="000000"/>
          <w:sz w:val="22"/>
          <w:szCs w:val="22"/>
          <w:lang w:eastAsia="de-DE"/>
        </w:rPr>
        <w:t>Physical</w:t>
      </w:r>
      <w:proofErr w:type="spellEnd"/>
      <w:r>
        <w:rPr>
          <w:rFonts w:ascii="Arial" w:hAnsi="Arial" w:cs="Arial"/>
          <w:color w:val="000000"/>
          <w:sz w:val="22"/>
          <w:szCs w:val="22"/>
          <w:lang w:eastAsia="de-DE"/>
        </w:rPr>
        <w:t xml:space="preserve"> Assistance erweitert, die insbesondere Stethoskope und Diagnostikleuchten bezogen. </w:t>
      </w:r>
    </w:p>
    <w:p w14:paraId="6DB5E963" w14:textId="42C4978B" w:rsidR="00050FC2" w:rsidRDefault="00050FC2">
      <w:pPr>
        <w:jc w:val="both"/>
        <w:rPr>
          <w:rFonts w:ascii="Arial" w:hAnsi="Arial" w:cs="Arial"/>
          <w:color w:val="000000"/>
          <w:sz w:val="22"/>
          <w:szCs w:val="22"/>
          <w:lang w:eastAsia="de-DE"/>
        </w:rPr>
      </w:pPr>
      <w:r>
        <w:rPr>
          <w:rFonts w:ascii="Arial" w:hAnsi="Arial" w:cs="Arial"/>
          <w:color w:val="000000"/>
          <w:sz w:val="22"/>
          <w:szCs w:val="22"/>
          <w:lang w:eastAsia="de-DE"/>
        </w:rPr>
        <w:t xml:space="preserve">Die einzige Produktkategorie, bei der die bestellten Stückzahlen geringer ausfielen als im Vorjahr, waren die Handschuhe, dies ist insbesondere auf ein hohes Lager in den HSGs zurückzuführen. </w:t>
      </w:r>
    </w:p>
    <w:p w14:paraId="64DB9C06" w14:textId="77777777" w:rsidR="00475E2E" w:rsidRDefault="00475E2E">
      <w:pPr>
        <w:jc w:val="both"/>
        <w:rPr>
          <w:rFonts w:ascii="Arial" w:hAnsi="Arial" w:cs="Arial"/>
          <w:color w:val="000000"/>
          <w:sz w:val="22"/>
          <w:szCs w:val="22"/>
          <w:lang w:eastAsia="de-DE"/>
        </w:rPr>
      </w:pPr>
    </w:p>
    <w:tbl>
      <w:tblPr>
        <w:tblW w:w="9069" w:type="dxa"/>
        <w:tblCellMar>
          <w:left w:w="70" w:type="dxa"/>
          <w:right w:w="70" w:type="dxa"/>
        </w:tblCellMar>
        <w:tblLook w:val="04A0" w:firstRow="1" w:lastRow="0" w:firstColumn="1" w:lastColumn="0" w:noHBand="0" w:noVBand="1"/>
      </w:tblPr>
      <w:tblGrid>
        <w:gridCol w:w="3653"/>
        <w:gridCol w:w="1578"/>
        <w:gridCol w:w="1919"/>
        <w:gridCol w:w="1919"/>
      </w:tblGrid>
      <w:tr w:rsidR="00050FC2" w:rsidRPr="00475E2E" w14:paraId="3B18BD0D" w14:textId="77777777" w:rsidTr="00220CEE">
        <w:trPr>
          <w:trHeight w:val="289"/>
        </w:trPr>
        <w:tc>
          <w:tcPr>
            <w:tcW w:w="9069" w:type="dxa"/>
            <w:gridSpan w:val="4"/>
            <w:tcBorders>
              <w:top w:val="single" w:sz="4" w:space="0" w:color="auto"/>
              <w:left w:val="single" w:sz="4" w:space="0" w:color="auto"/>
              <w:bottom w:val="single" w:sz="4" w:space="0" w:color="auto"/>
              <w:right w:val="single" w:sz="4" w:space="0" w:color="auto"/>
            </w:tcBorders>
            <w:shd w:val="clear" w:color="000000" w:fill="C6E0B4"/>
            <w:noWrap/>
            <w:vAlign w:val="bottom"/>
          </w:tcPr>
          <w:p w14:paraId="329FE4C9" w14:textId="4F60DCF3" w:rsidR="00050FC2" w:rsidRPr="00475E2E" w:rsidRDefault="00050FC2" w:rsidP="00050FC2">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000000"/>
                <w:sz w:val="22"/>
                <w:szCs w:val="22"/>
                <w:lang w:eastAsia="de-DE"/>
              </w:rPr>
            </w:pPr>
            <w:r>
              <w:rPr>
                <w:rFonts w:eastAsia="Times New Roman"/>
                <w:color w:val="000000"/>
                <w:sz w:val="22"/>
                <w:szCs w:val="22"/>
                <w:lang w:eastAsia="de-DE"/>
              </w:rPr>
              <w:t>Bestellungen der HSGs im Geschäftsjahr 2021 und 2022 nach Produktkategorien</w:t>
            </w:r>
          </w:p>
        </w:tc>
      </w:tr>
      <w:tr w:rsidR="00475E2E" w:rsidRPr="00475E2E" w14:paraId="0149E5A2" w14:textId="77777777" w:rsidTr="00475E2E">
        <w:trPr>
          <w:trHeight w:val="289"/>
        </w:trPr>
        <w:tc>
          <w:tcPr>
            <w:tcW w:w="3653" w:type="dxa"/>
            <w:tcBorders>
              <w:top w:val="single" w:sz="4" w:space="0" w:color="auto"/>
              <w:left w:val="single" w:sz="4" w:space="0" w:color="auto"/>
              <w:bottom w:val="single" w:sz="4" w:space="0" w:color="auto"/>
              <w:right w:val="nil"/>
            </w:tcBorders>
            <w:shd w:val="clear" w:color="000000" w:fill="C6E0B4"/>
            <w:noWrap/>
            <w:vAlign w:val="bottom"/>
            <w:hideMark/>
          </w:tcPr>
          <w:p w14:paraId="20FB7782"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475E2E">
              <w:rPr>
                <w:rFonts w:eastAsia="Times New Roman"/>
                <w:color w:val="000000"/>
                <w:sz w:val="22"/>
                <w:szCs w:val="22"/>
                <w:lang w:eastAsia="de-DE"/>
              </w:rPr>
              <w:t>Produkte</w:t>
            </w:r>
          </w:p>
        </w:tc>
        <w:tc>
          <w:tcPr>
            <w:tcW w:w="1578" w:type="dxa"/>
            <w:tcBorders>
              <w:top w:val="single" w:sz="4" w:space="0" w:color="auto"/>
              <w:left w:val="nil"/>
              <w:bottom w:val="single" w:sz="4" w:space="0" w:color="auto"/>
              <w:right w:val="nil"/>
            </w:tcBorders>
            <w:shd w:val="clear" w:color="000000" w:fill="A9D08E"/>
            <w:noWrap/>
            <w:vAlign w:val="bottom"/>
            <w:hideMark/>
          </w:tcPr>
          <w:p w14:paraId="6A24674D"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2021</w:t>
            </w:r>
          </w:p>
        </w:tc>
        <w:tc>
          <w:tcPr>
            <w:tcW w:w="1919" w:type="dxa"/>
            <w:tcBorders>
              <w:top w:val="single" w:sz="4" w:space="0" w:color="auto"/>
              <w:left w:val="nil"/>
              <w:bottom w:val="single" w:sz="4" w:space="0" w:color="auto"/>
              <w:right w:val="nil"/>
            </w:tcBorders>
            <w:shd w:val="clear" w:color="000000" w:fill="C6E0B4"/>
            <w:noWrap/>
            <w:vAlign w:val="bottom"/>
            <w:hideMark/>
          </w:tcPr>
          <w:p w14:paraId="119BF434"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2022</w:t>
            </w:r>
          </w:p>
        </w:tc>
        <w:tc>
          <w:tcPr>
            <w:tcW w:w="1919" w:type="dxa"/>
            <w:tcBorders>
              <w:top w:val="single" w:sz="4" w:space="0" w:color="auto"/>
              <w:left w:val="nil"/>
              <w:bottom w:val="single" w:sz="4" w:space="0" w:color="auto"/>
              <w:right w:val="single" w:sz="4" w:space="0" w:color="auto"/>
            </w:tcBorders>
            <w:shd w:val="clear" w:color="000000" w:fill="A9D08E"/>
            <w:noWrap/>
            <w:vAlign w:val="bottom"/>
            <w:hideMark/>
          </w:tcPr>
          <w:p w14:paraId="26F432B4" w14:textId="6F391934"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 </w:t>
            </w:r>
            <w:r>
              <w:rPr>
                <w:rFonts w:eastAsia="Times New Roman"/>
                <w:color w:val="000000"/>
                <w:sz w:val="22"/>
                <w:szCs w:val="22"/>
                <w:lang w:eastAsia="de-DE"/>
              </w:rPr>
              <w:t>22 im vgl. zu 21</w:t>
            </w:r>
          </w:p>
        </w:tc>
      </w:tr>
      <w:tr w:rsidR="00475E2E" w:rsidRPr="00475E2E" w14:paraId="07525341" w14:textId="77777777" w:rsidTr="00475E2E">
        <w:trPr>
          <w:trHeight w:val="289"/>
        </w:trPr>
        <w:tc>
          <w:tcPr>
            <w:tcW w:w="3653" w:type="dxa"/>
            <w:tcBorders>
              <w:top w:val="nil"/>
              <w:left w:val="single" w:sz="4" w:space="0" w:color="auto"/>
              <w:bottom w:val="nil"/>
              <w:right w:val="nil"/>
            </w:tcBorders>
            <w:shd w:val="clear" w:color="000000" w:fill="C6E0B4"/>
            <w:noWrap/>
            <w:vAlign w:val="bottom"/>
            <w:hideMark/>
          </w:tcPr>
          <w:p w14:paraId="0AFB1AD9"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475E2E">
              <w:rPr>
                <w:rFonts w:eastAsia="Times New Roman"/>
                <w:color w:val="000000"/>
                <w:sz w:val="22"/>
                <w:szCs w:val="22"/>
                <w:lang w:eastAsia="de-DE"/>
              </w:rPr>
              <w:t>Kittel - Gesamt</w:t>
            </w:r>
          </w:p>
        </w:tc>
        <w:tc>
          <w:tcPr>
            <w:tcW w:w="1578" w:type="dxa"/>
            <w:tcBorders>
              <w:top w:val="nil"/>
              <w:left w:val="nil"/>
              <w:bottom w:val="nil"/>
              <w:right w:val="nil"/>
            </w:tcBorders>
            <w:shd w:val="clear" w:color="000000" w:fill="A9D08E"/>
            <w:noWrap/>
            <w:vAlign w:val="bottom"/>
            <w:hideMark/>
          </w:tcPr>
          <w:p w14:paraId="5E41A3A4"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2886</w:t>
            </w:r>
          </w:p>
        </w:tc>
        <w:tc>
          <w:tcPr>
            <w:tcW w:w="1919" w:type="dxa"/>
            <w:tcBorders>
              <w:top w:val="nil"/>
              <w:left w:val="nil"/>
              <w:bottom w:val="nil"/>
              <w:right w:val="nil"/>
            </w:tcBorders>
            <w:shd w:val="clear" w:color="000000" w:fill="C6E0B4"/>
            <w:noWrap/>
            <w:vAlign w:val="bottom"/>
            <w:hideMark/>
          </w:tcPr>
          <w:p w14:paraId="172FA163"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3623</w:t>
            </w:r>
          </w:p>
        </w:tc>
        <w:tc>
          <w:tcPr>
            <w:tcW w:w="1919" w:type="dxa"/>
            <w:tcBorders>
              <w:top w:val="nil"/>
              <w:left w:val="nil"/>
              <w:bottom w:val="nil"/>
              <w:right w:val="single" w:sz="4" w:space="0" w:color="auto"/>
            </w:tcBorders>
            <w:shd w:val="clear" w:color="000000" w:fill="A9D08E"/>
            <w:noWrap/>
            <w:vAlign w:val="bottom"/>
            <w:hideMark/>
          </w:tcPr>
          <w:p w14:paraId="194F03D2"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25,54%</w:t>
            </w:r>
          </w:p>
        </w:tc>
      </w:tr>
      <w:tr w:rsidR="00475E2E" w:rsidRPr="00475E2E" w14:paraId="58EB9DC4" w14:textId="77777777" w:rsidTr="00475E2E">
        <w:trPr>
          <w:trHeight w:val="289"/>
        </w:trPr>
        <w:tc>
          <w:tcPr>
            <w:tcW w:w="3653" w:type="dxa"/>
            <w:tcBorders>
              <w:top w:val="nil"/>
              <w:left w:val="single" w:sz="4" w:space="0" w:color="auto"/>
              <w:bottom w:val="nil"/>
              <w:right w:val="nil"/>
            </w:tcBorders>
            <w:shd w:val="clear" w:color="000000" w:fill="C6E0B4"/>
            <w:noWrap/>
            <w:vAlign w:val="bottom"/>
            <w:hideMark/>
          </w:tcPr>
          <w:p w14:paraId="7C508E6B"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475E2E">
              <w:rPr>
                <w:rFonts w:eastAsia="Times New Roman"/>
                <w:color w:val="000000"/>
                <w:sz w:val="22"/>
                <w:szCs w:val="22"/>
                <w:lang w:eastAsia="de-DE"/>
              </w:rPr>
              <w:t>Arztkittel</w:t>
            </w:r>
          </w:p>
        </w:tc>
        <w:tc>
          <w:tcPr>
            <w:tcW w:w="1578" w:type="dxa"/>
            <w:tcBorders>
              <w:top w:val="nil"/>
              <w:left w:val="nil"/>
              <w:bottom w:val="nil"/>
              <w:right w:val="nil"/>
            </w:tcBorders>
            <w:shd w:val="clear" w:color="000000" w:fill="A9D08E"/>
            <w:noWrap/>
            <w:vAlign w:val="bottom"/>
            <w:hideMark/>
          </w:tcPr>
          <w:p w14:paraId="3974ACB6"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428</w:t>
            </w:r>
          </w:p>
        </w:tc>
        <w:tc>
          <w:tcPr>
            <w:tcW w:w="1919" w:type="dxa"/>
            <w:tcBorders>
              <w:top w:val="nil"/>
              <w:left w:val="nil"/>
              <w:bottom w:val="nil"/>
              <w:right w:val="nil"/>
            </w:tcBorders>
            <w:shd w:val="clear" w:color="000000" w:fill="C6E0B4"/>
            <w:noWrap/>
            <w:vAlign w:val="bottom"/>
            <w:hideMark/>
          </w:tcPr>
          <w:p w14:paraId="4C12961D"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920</w:t>
            </w:r>
          </w:p>
        </w:tc>
        <w:tc>
          <w:tcPr>
            <w:tcW w:w="1919" w:type="dxa"/>
            <w:tcBorders>
              <w:top w:val="nil"/>
              <w:left w:val="nil"/>
              <w:bottom w:val="nil"/>
              <w:right w:val="single" w:sz="4" w:space="0" w:color="auto"/>
            </w:tcBorders>
            <w:shd w:val="clear" w:color="000000" w:fill="A9D08E"/>
            <w:noWrap/>
            <w:vAlign w:val="bottom"/>
            <w:hideMark/>
          </w:tcPr>
          <w:p w14:paraId="0015A1C4"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114,95%</w:t>
            </w:r>
          </w:p>
        </w:tc>
      </w:tr>
      <w:tr w:rsidR="00475E2E" w:rsidRPr="00475E2E" w14:paraId="0691E869" w14:textId="77777777" w:rsidTr="00475E2E">
        <w:trPr>
          <w:trHeight w:val="289"/>
        </w:trPr>
        <w:tc>
          <w:tcPr>
            <w:tcW w:w="3653" w:type="dxa"/>
            <w:tcBorders>
              <w:top w:val="nil"/>
              <w:left w:val="single" w:sz="4" w:space="0" w:color="auto"/>
              <w:bottom w:val="nil"/>
              <w:right w:val="nil"/>
            </w:tcBorders>
            <w:shd w:val="clear" w:color="000000" w:fill="C6E0B4"/>
            <w:noWrap/>
            <w:vAlign w:val="bottom"/>
            <w:hideMark/>
          </w:tcPr>
          <w:p w14:paraId="62103F92" w14:textId="557F00A4"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475E2E">
              <w:rPr>
                <w:rFonts w:eastAsia="Times New Roman"/>
                <w:color w:val="000000"/>
                <w:sz w:val="22"/>
                <w:szCs w:val="22"/>
                <w:lang w:eastAsia="de-DE"/>
              </w:rPr>
              <w:t>P</w:t>
            </w:r>
            <w:r>
              <w:rPr>
                <w:rFonts w:eastAsia="Times New Roman"/>
                <w:color w:val="000000"/>
                <w:sz w:val="22"/>
                <w:szCs w:val="22"/>
                <w:lang w:eastAsia="de-DE"/>
              </w:rPr>
              <w:t>rä</w:t>
            </w:r>
            <w:r w:rsidRPr="00475E2E">
              <w:rPr>
                <w:rFonts w:eastAsia="Times New Roman"/>
                <w:color w:val="000000"/>
                <w:sz w:val="22"/>
                <w:szCs w:val="22"/>
                <w:lang w:eastAsia="de-DE"/>
              </w:rPr>
              <w:t>p</w:t>
            </w:r>
            <w:r>
              <w:rPr>
                <w:rFonts w:eastAsia="Times New Roman"/>
                <w:color w:val="000000"/>
                <w:sz w:val="22"/>
                <w:szCs w:val="22"/>
                <w:lang w:eastAsia="de-DE"/>
              </w:rPr>
              <w:t>arier-/Labor</w:t>
            </w:r>
            <w:r w:rsidRPr="00475E2E">
              <w:rPr>
                <w:rFonts w:eastAsia="Times New Roman"/>
                <w:color w:val="000000"/>
                <w:sz w:val="22"/>
                <w:szCs w:val="22"/>
                <w:lang w:eastAsia="de-DE"/>
              </w:rPr>
              <w:t>kittel</w:t>
            </w:r>
          </w:p>
        </w:tc>
        <w:tc>
          <w:tcPr>
            <w:tcW w:w="1578" w:type="dxa"/>
            <w:tcBorders>
              <w:top w:val="nil"/>
              <w:left w:val="nil"/>
              <w:bottom w:val="nil"/>
              <w:right w:val="nil"/>
            </w:tcBorders>
            <w:shd w:val="clear" w:color="000000" w:fill="A9D08E"/>
            <w:noWrap/>
            <w:vAlign w:val="bottom"/>
            <w:hideMark/>
          </w:tcPr>
          <w:p w14:paraId="2463A393"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2458</w:t>
            </w:r>
          </w:p>
        </w:tc>
        <w:tc>
          <w:tcPr>
            <w:tcW w:w="1919" w:type="dxa"/>
            <w:tcBorders>
              <w:top w:val="nil"/>
              <w:left w:val="nil"/>
              <w:bottom w:val="nil"/>
              <w:right w:val="nil"/>
            </w:tcBorders>
            <w:shd w:val="clear" w:color="000000" w:fill="C6E0B4"/>
            <w:noWrap/>
            <w:vAlign w:val="bottom"/>
            <w:hideMark/>
          </w:tcPr>
          <w:p w14:paraId="1D870895"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2703</w:t>
            </w:r>
          </w:p>
        </w:tc>
        <w:tc>
          <w:tcPr>
            <w:tcW w:w="1919" w:type="dxa"/>
            <w:tcBorders>
              <w:top w:val="nil"/>
              <w:left w:val="nil"/>
              <w:bottom w:val="nil"/>
              <w:right w:val="single" w:sz="4" w:space="0" w:color="auto"/>
            </w:tcBorders>
            <w:shd w:val="clear" w:color="000000" w:fill="A9D08E"/>
            <w:noWrap/>
            <w:vAlign w:val="bottom"/>
            <w:hideMark/>
          </w:tcPr>
          <w:p w14:paraId="60610F39"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9,97%</w:t>
            </w:r>
          </w:p>
        </w:tc>
      </w:tr>
      <w:tr w:rsidR="00475E2E" w:rsidRPr="00475E2E" w14:paraId="3BB41F90" w14:textId="77777777" w:rsidTr="00475E2E">
        <w:trPr>
          <w:trHeight w:val="289"/>
        </w:trPr>
        <w:tc>
          <w:tcPr>
            <w:tcW w:w="3653" w:type="dxa"/>
            <w:tcBorders>
              <w:top w:val="nil"/>
              <w:left w:val="single" w:sz="4" w:space="0" w:color="auto"/>
              <w:bottom w:val="nil"/>
              <w:right w:val="nil"/>
            </w:tcBorders>
            <w:shd w:val="clear" w:color="000000" w:fill="C6E0B4"/>
            <w:noWrap/>
            <w:vAlign w:val="bottom"/>
            <w:hideMark/>
          </w:tcPr>
          <w:p w14:paraId="268DAA6F"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475E2E">
              <w:rPr>
                <w:rFonts w:eastAsia="Times New Roman"/>
                <w:color w:val="000000"/>
                <w:sz w:val="22"/>
                <w:szCs w:val="22"/>
                <w:lang w:eastAsia="de-DE"/>
              </w:rPr>
              <w:t>Stethoskop</w:t>
            </w:r>
          </w:p>
        </w:tc>
        <w:tc>
          <w:tcPr>
            <w:tcW w:w="1578" w:type="dxa"/>
            <w:tcBorders>
              <w:top w:val="nil"/>
              <w:left w:val="nil"/>
              <w:bottom w:val="nil"/>
              <w:right w:val="nil"/>
            </w:tcBorders>
            <w:shd w:val="clear" w:color="000000" w:fill="A9D08E"/>
            <w:noWrap/>
            <w:vAlign w:val="bottom"/>
            <w:hideMark/>
          </w:tcPr>
          <w:p w14:paraId="23D03732"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396</w:t>
            </w:r>
          </w:p>
        </w:tc>
        <w:tc>
          <w:tcPr>
            <w:tcW w:w="1919" w:type="dxa"/>
            <w:tcBorders>
              <w:top w:val="nil"/>
              <w:left w:val="nil"/>
              <w:bottom w:val="nil"/>
              <w:right w:val="nil"/>
            </w:tcBorders>
            <w:shd w:val="clear" w:color="000000" w:fill="C6E0B4"/>
            <w:noWrap/>
            <w:vAlign w:val="bottom"/>
            <w:hideMark/>
          </w:tcPr>
          <w:p w14:paraId="05E24EF6"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464</w:t>
            </w:r>
          </w:p>
        </w:tc>
        <w:tc>
          <w:tcPr>
            <w:tcW w:w="1919" w:type="dxa"/>
            <w:tcBorders>
              <w:top w:val="nil"/>
              <w:left w:val="nil"/>
              <w:bottom w:val="nil"/>
              <w:right w:val="single" w:sz="4" w:space="0" w:color="auto"/>
            </w:tcBorders>
            <w:shd w:val="clear" w:color="000000" w:fill="A9D08E"/>
            <w:noWrap/>
            <w:vAlign w:val="bottom"/>
            <w:hideMark/>
          </w:tcPr>
          <w:p w14:paraId="55FBE605"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17,17%</w:t>
            </w:r>
          </w:p>
        </w:tc>
      </w:tr>
      <w:tr w:rsidR="00475E2E" w:rsidRPr="00475E2E" w14:paraId="014FD1B8" w14:textId="77777777" w:rsidTr="00475E2E">
        <w:trPr>
          <w:trHeight w:val="289"/>
        </w:trPr>
        <w:tc>
          <w:tcPr>
            <w:tcW w:w="3653" w:type="dxa"/>
            <w:tcBorders>
              <w:top w:val="nil"/>
              <w:left w:val="single" w:sz="4" w:space="0" w:color="auto"/>
              <w:bottom w:val="nil"/>
              <w:right w:val="nil"/>
            </w:tcBorders>
            <w:shd w:val="clear" w:color="000000" w:fill="C6E0B4"/>
            <w:noWrap/>
            <w:vAlign w:val="bottom"/>
            <w:hideMark/>
          </w:tcPr>
          <w:p w14:paraId="082BB7AD"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475E2E">
              <w:rPr>
                <w:rFonts w:eastAsia="Times New Roman"/>
                <w:color w:val="000000"/>
                <w:sz w:val="22"/>
                <w:szCs w:val="22"/>
                <w:lang w:eastAsia="de-DE"/>
              </w:rPr>
              <w:t>Diagnostikleuchten</w:t>
            </w:r>
          </w:p>
        </w:tc>
        <w:tc>
          <w:tcPr>
            <w:tcW w:w="1578" w:type="dxa"/>
            <w:tcBorders>
              <w:top w:val="nil"/>
              <w:left w:val="nil"/>
              <w:bottom w:val="nil"/>
              <w:right w:val="nil"/>
            </w:tcBorders>
            <w:shd w:val="clear" w:color="000000" w:fill="A9D08E"/>
            <w:noWrap/>
            <w:vAlign w:val="bottom"/>
            <w:hideMark/>
          </w:tcPr>
          <w:p w14:paraId="10320B97"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544</w:t>
            </w:r>
          </w:p>
        </w:tc>
        <w:tc>
          <w:tcPr>
            <w:tcW w:w="1919" w:type="dxa"/>
            <w:tcBorders>
              <w:top w:val="nil"/>
              <w:left w:val="nil"/>
              <w:bottom w:val="nil"/>
              <w:right w:val="nil"/>
            </w:tcBorders>
            <w:shd w:val="clear" w:color="000000" w:fill="C6E0B4"/>
            <w:noWrap/>
            <w:vAlign w:val="bottom"/>
            <w:hideMark/>
          </w:tcPr>
          <w:p w14:paraId="6AF36BFB"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830</w:t>
            </w:r>
          </w:p>
        </w:tc>
        <w:tc>
          <w:tcPr>
            <w:tcW w:w="1919" w:type="dxa"/>
            <w:tcBorders>
              <w:top w:val="nil"/>
              <w:left w:val="nil"/>
              <w:bottom w:val="nil"/>
              <w:right w:val="single" w:sz="4" w:space="0" w:color="auto"/>
            </w:tcBorders>
            <w:shd w:val="clear" w:color="000000" w:fill="A9D08E"/>
            <w:noWrap/>
            <w:vAlign w:val="bottom"/>
            <w:hideMark/>
          </w:tcPr>
          <w:p w14:paraId="17826B01"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52,57%</w:t>
            </w:r>
          </w:p>
        </w:tc>
      </w:tr>
      <w:tr w:rsidR="00475E2E" w:rsidRPr="00475E2E" w14:paraId="024ADA0B" w14:textId="77777777" w:rsidTr="00475E2E">
        <w:trPr>
          <w:trHeight w:val="289"/>
        </w:trPr>
        <w:tc>
          <w:tcPr>
            <w:tcW w:w="3653" w:type="dxa"/>
            <w:tcBorders>
              <w:top w:val="nil"/>
              <w:left w:val="single" w:sz="4" w:space="0" w:color="auto"/>
              <w:bottom w:val="nil"/>
              <w:right w:val="nil"/>
            </w:tcBorders>
            <w:shd w:val="clear" w:color="000000" w:fill="C6E0B4"/>
            <w:noWrap/>
            <w:vAlign w:val="bottom"/>
            <w:hideMark/>
          </w:tcPr>
          <w:p w14:paraId="6E2D36D7" w14:textId="29E503E2"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475E2E">
              <w:rPr>
                <w:rFonts w:eastAsia="Times New Roman"/>
                <w:color w:val="000000"/>
                <w:sz w:val="22"/>
                <w:szCs w:val="22"/>
                <w:lang w:eastAsia="de-DE"/>
              </w:rPr>
              <w:t>Ref</w:t>
            </w:r>
            <w:r>
              <w:rPr>
                <w:rFonts w:eastAsia="Times New Roman"/>
                <w:color w:val="000000"/>
                <w:sz w:val="22"/>
                <w:szCs w:val="22"/>
                <w:lang w:eastAsia="de-DE"/>
              </w:rPr>
              <w:t>le</w:t>
            </w:r>
            <w:r w:rsidRPr="00475E2E">
              <w:rPr>
                <w:rFonts w:eastAsia="Times New Roman"/>
                <w:color w:val="000000"/>
                <w:sz w:val="22"/>
                <w:szCs w:val="22"/>
                <w:lang w:eastAsia="de-DE"/>
              </w:rPr>
              <w:t>xhämmer</w:t>
            </w:r>
          </w:p>
        </w:tc>
        <w:tc>
          <w:tcPr>
            <w:tcW w:w="1578" w:type="dxa"/>
            <w:tcBorders>
              <w:top w:val="nil"/>
              <w:left w:val="nil"/>
              <w:bottom w:val="nil"/>
              <w:right w:val="nil"/>
            </w:tcBorders>
            <w:shd w:val="clear" w:color="000000" w:fill="A9D08E"/>
            <w:noWrap/>
            <w:vAlign w:val="bottom"/>
            <w:hideMark/>
          </w:tcPr>
          <w:p w14:paraId="579DBC62"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481</w:t>
            </w:r>
          </w:p>
        </w:tc>
        <w:tc>
          <w:tcPr>
            <w:tcW w:w="1919" w:type="dxa"/>
            <w:tcBorders>
              <w:top w:val="nil"/>
              <w:left w:val="nil"/>
              <w:bottom w:val="nil"/>
              <w:right w:val="nil"/>
            </w:tcBorders>
            <w:shd w:val="clear" w:color="000000" w:fill="C6E0B4"/>
            <w:noWrap/>
            <w:vAlign w:val="bottom"/>
            <w:hideMark/>
          </w:tcPr>
          <w:p w14:paraId="5950DEBB"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547</w:t>
            </w:r>
          </w:p>
        </w:tc>
        <w:tc>
          <w:tcPr>
            <w:tcW w:w="1919" w:type="dxa"/>
            <w:tcBorders>
              <w:top w:val="nil"/>
              <w:left w:val="nil"/>
              <w:bottom w:val="nil"/>
              <w:right w:val="single" w:sz="4" w:space="0" w:color="auto"/>
            </w:tcBorders>
            <w:shd w:val="clear" w:color="000000" w:fill="A9D08E"/>
            <w:noWrap/>
            <w:vAlign w:val="bottom"/>
            <w:hideMark/>
          </w:tcPr>
          <w:p w14:paraId="0E7D91B1"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13,72%</w:t>
            </w:r>
          </w:p>
        </w:tc>
      </w:tr>
      <w:tr w:rsidR="00475E2E" w:rsidRPr="00475E2E" w14:paraId="7D2E6C62" w14:textId="77777777" w:rsidTr="00475E2E">
        <w:trPr>
          <w:trHeight w:val="289"/>
        </w:trPr>
        <w:tc>
          <w:tcPr>
            <w:tcW w:w="3653" w:type="dxa"/>
            <w:tcBorders>
              <w:top w:val="nil"/>
              <w:left w:val="single" w:sz="4" w:space="0" w:color="auto"/>
              <w:bottom w:val="single" w:sz="4" w:space="0" w:color="auto"/>
              <w:right w:val="nil"/>
            </w:tcBorders>
            <w:shd w:val="clear" w:color="000000" w:fill="C6E0B4"/>
            <w:noWrap/>
            <w:vAlign w:val="bottom"/>
            <w:hideMark/>
          </w:tcPr>
          <w:p w14:paraId="0C9B87F4"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475E2E">
              <w:rPr>
                <w:rFonts w:eastAsia="Times New Roman"/>
                <w:color w:val="000000"/>
                <w:sz w:val="22"/>
                <w:szCs w:val="22"/>
                <w:lang w:eastAsia="de-DE"/>
              </w:rPr>
              <w:t>Handschuhe</w:t>
            </w:r>
          </w:p>
        </w:tc>
        <w:tc>
          <w:tcPr>
            <w:tcW w:w="1578" w:type="dxa"/>
            <w:tcBorders>
              <w:top w:val="nil"/>
              <w:left w:val="nil"/>
              <w:bottom w:val="single" w:sz="4" w:space="0" w:color="auto"/>
              <w:right w:val="nil"/>
            </w:tcBorders>
            <w:shd w:val="clear" w:color="000000" w:fill="A9D08E"/>
            <w:noWrap/>
            <w:vAlign w:val="bottom"/>
            <w:hideMark/>
          </w:tcPr>
          <w:p w14:paraId="45BB58B6"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1640</w:t>
            </w:r>
          </w:p>
        </w:tc>
        <w:tc>
          <w:tcPr>
            <w:tcW w:w="1919" w:type="dxa"/>
            <w:tcBorders>
              <w:top w:val="nil"/>
              <w:left w:val="nil"/>
              <w:bottom w:val="single" w:sz="4" w:space="0" w:color="auto"/>
              <w:right w:val="nil"/>
            </w:tcBorders>
            <w:shd w:val="clear" w:color="000000" w:fill="C6E0B4"/>
            <w:noWrap/>
            <w:vAlign w:val="bottom"/>
            <w:hideMark/>
          </w:tcPr>
          <w:p w14:paraId="3F470A03"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475E2E">
              <w:rPr>
                <w:rFonts w:eastAsia="Times New Roman"/>
                <w:color w:val="000000"/>
                <w:sz w:val="22"/>
                <w:szCs w:val="22"/>
                <w:lang w:eastAsia="de-DE"/>
              </w:rPr>
              <w:t>590</w:t>
            </w:r>
          </w:p>
        </w:tc>
        <w:tc>
          <w:tcPr>
            <w:tcW w:w="1919" w:type="dxa"/>
            <w:tcBorders>
              <w:top w:val="nil"/>
              <w:left w:val="nil"/>
              <w:bottom w:val="single" w:sz="4" w:space="0" w:color="auto"/>
              <w:right w:val="single" w:sz="4" w:space="0" w:color="auto"/>
            </w:tcBorders>
            <w:shd w:val="clear" w:color="000000" w:fill="A9D08E"/>
            <w:noWrap/>
            <w:vAlign w:val="bottom"/>
            <w:hideMark/>
          </w:tcPr>
          <w:p w14:paraId="2357DFB8" w14:textId="77777777" w:rsidR="00475E2E" w:rsidRPr="00475E2E" w:rsidRDefault="00475E2E" w:rsidP="00475E2E">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FF0000"/>
                <w:sz w:val="22"/>
                <w:szCs w:val="22"/>
                <w:lang w:eastAsia="de-DE"/>
              </w:rPr>
            </w:pPr>
            <w:r w:rsidRPr="00475E2E">
              <w:rPr>
                <w:rFonts w:eastAsia="Times New Roman"/>
                <w:color w:val="FF0000"/>
                <w:sz w:val="22"/>
                <w:szCs w:val="22"/>
                <w:lang w:eastAsia="de-DE"/>
              </w:rPr>
              <w:t>-64,02%</w:t>
            </w:r>
          </w:p>
        </w:tc>
      </w:tr>
    </w:tbl>
    <w:p w14:paraId="35B78D58" w14:textId="77777777" w:rsidR="00475E2E" w:rsidRDefault="00475E2E">
      <w:pPr>
        <w:jc w:val="both"/>
        <w:rPr>
          <w:rFonts w:ascii="Arial" w:hAnsi="Arial" w:cs="Arial"/>
          <w:color w:val="000000"/>
          <w:sz w:val="22"/>
          <w:szCs w:val="22"/>
          <w:lang w:eastAsia="de-DE"/>
        </w:rPr>
      </w:pPr>
    </w:p>
    <w:p w14:paraId="1A21F8E7" w14:textId="77777777" w:rsidR="00C42DE6" w:rsidRDefault="00050FC2">
      <w:pPr>
        <w:jc w:val="both"/>
        <w:rPr>
          <w:rFonts w:ascii="Arial" w:hAnsi="Arial" w:cs="Arial"/>
          <w:color w:val="000000"/>
          <w:sz w:val="22"/>
          <w:szCs w:val="22"/>
          <w:lang w:eastAsia="de-DE"/>
        </w:rPr>
      </w:pPr>
      <w:r>
        <w:rPr>
          <w:rFonts w:ascii="Arial" w:hAnsi="Arial" w:cs="Arial"/>
          <w:color w:val="000000"/>
          <w:sz w:val="22"/>
          <w:szCs w:val="22"/>
          <w:lang w:eastAsia="de-DE"/>
        </w:rPr>
        <w:t>Im Rahmen der Preiskalkulationen kam es zu Preissteigerungen insbesondere bei den Kittel. Durch leicht höhere Einkaufspreise bei Reflexhämmern, Visitenkittel und Stethoskopen insb. Littmann Stethoskop wurde die Gewinnmarge bei den einzelnen Produkten reduziert</w:t>
      </w:r>
      <w:r w:rsidR="00C42DE6">
        <w:rPr>
          <w:rFonts w:ascii="Arial" w:hAnsi="Arial" w:cs="Arial"/>
          <w:color w:val="000000"/>
          <w:sz w:val="22"/>
          <w:szCs w:val="22"/>
          <w:lang w:eastAsia="de-DE"/>
        </w:rPr>
        <w:t>, aber ohne das es bei gleichbleibenden Verkaufspreisen zu Verlusten kam</w:t>
      </w:r>
      <w:r w:rsidR="006845D9">
        <w:rPr>
          <w:rFonts w:ascii="Arial" w:hAnsi="Arial" w:cs="Arial"/>
          <w:color w:val="000000"/>
          <w:sz w:val="22"/>
          <w:szCs w:val="22"/>
          <w:lang w:eastAsia="de-DE"/>
        </w:rPr>
        <w:t>. Hinzu kamen die negative Bilanz des Jahresabschlusses 2020, weshalb entschieden wurde die Preise für Präparier-/Laborkittel anzuheben, um die höheren Einkaufspreise und den Verlust des Vorjahres auszugleichen. Dabei wurde dieses Produkt gewählt, da der Einkaufspreis zuvor nahezu weitergegeben wurde an die Studierenden und mit 17€ der Verkaufspreis immer noch deutlich günstiger ist als der der Konkurrenz. Die Handschuhe wurden zunächst etwas teurer im Einkauf, da der Markt eine weitere Pandemiewelle erwartete</w:t>
      </w:r>
      <w:r w:rsidR="00C42DE6">
        <w:rPr>
          <w:rFonts w:ascii="Arial" w:hAnsi="Arial" w:cs="Arial"/>
          <w:color w:val="000000"/>
          <w:sz w:val="22"/>
          <w:szCs w:val="22"/>
          <w:lang w:eastAsia="de-DE"/>
        </w:rPr>
        <w:t xml:space="preserve"> bzw. dies noch Nachwirkungen aus dem Jahr 2021 waren</w:t>
      </w:r>
      <w:r w:rsidR="006845D9">
        <w:rPr>
          <w:rFonts w:ascii="Arial" w:hAnsi="Arial" w:cs="Arial"/>
          <w:color w:val="000000"/>
          <w:sz w:val="22"/>
          <w:szCs w:val="22"/>
          <w:lang w:eastAsia="de-DE"/>
        </w:rPr>
        <w:t xml:space="preserve">, allerdings fielen die Preise zum Winter hin sehr stark, wodurch der Verkaufspreis wiederum stark reduziert werden konnte, allerdings kann das Preisniveau von Vorcorona nicht erreicht werden, da sich nach wie vor Handschuhe im Lager befinden, die </w:t>
      </w:r>
      <w:r w:rsidR="00C42DE6">
        <w:rPr>
          <w:rFonts w:ascii="Arial" w:hAnsi="Arial" w:cs="Arial"/>
          <w:color w:val="000000"/>
          <w:sz w:val="22"/>
          <w:szCs w:val="22"/>
          <w:lang w:eastAsia="de-DE"/>
        </w:rPr>
        <w:t xml:space="preserve">im vorherigen Geschäftsjahr </w:t>
      </w:r>
      <w:r w:rsidR="006845D9">
        <w:rPr>
          <w:rFonts w:ascii="Arial" w:hAnsi="Arial" w:cs="Arial"/>
          <w:color w:val="000000"/>
          <w:sz w:val="22"/>
          <w:szCs w:val="22"/>
          <w:lang w:eastAsia="de-DE"/>
        </w:rPr>
        <w:t xml:space="preserve">zu sehr hohen Stückpreisen eingekauft wurden. Im </w:t>
      </w:r>
      <w:r w:rsidR="00C42DE6">
        <w:rPr>
          <w:rFonts w:ascii="Arial" w:hAnsi="Arial" w:cs="Arial"/>
          <w:color w:val="000000"/>
          <w:sz w:val="22"/>
          <w:szCs w:val="22"/>
          <w:lang w:eastAsia="de-DE"/>
        </w:rPr>
        <w:t>L</w:t>
      </w:r>
      <w:r w:rsidR="006845D9">
        <w:rPr>
          <w:rFonts w:ascii="Arial" w:hAnsi="Arial" w:cs="Arial"/>
          <w:color w:val="000000"/>
          <w:sz w:val="22"/>
          <w:szCs w:val="22"/>
          <w:lang w:eastAsia="de-DE"/>
        </w:rPr>
        <w:t>aufe der nächste</w:t>
      </w:r>
      <w:r w:rsidR="00C42DE6">
        <w:rPr>
          <w:rFonts w:ascii="Arial" w:hAnsi="Arial" w:cs="Arial"/>
          <w:color w:val="000000"/>
          <w:sz w:val="22"/>
          <w:szCs w:val="22"/>
          <w:lang w:eastAsia="de-DE"/>
        </w:rPr>
        <w:t>n</w:t>
      </w:r>
      <w:r w:rsidR="006845D9">
        <w:rPr>
          <w:rFonts w:ascii="Arial" w:hAnsi="Arial" w:cs="Arial"/>
          <w:color w:val="000000"/>
          <w:sz w:val="22"/>
          <w:szCs w:val="22"/>
          <w:lang w:eastAsia="de-DE"/>
        </w:rPr>
        <w:t xml:space="preserve"> Semester sollte der </w:t>
      </w:r>
      <w:r w:rsidR="00C42DE6">
        <w:rPr>
          <w:rFonts w:ascii="Arial" w:hAnsi="Arial" w:cs="Arial"/>
          <w:color w:val="000000"/>
          <w:sz w:val="22"/>
          <w:szCs w:val="22"/>
          <w:lang w:eastAsia="de-DE"/>
        </w:rPr>
        <w:t>Verkaufsp</w:t>
      </w:r>
      <w:r w:rsidR="006845D9">
        <w:rPr>
          <w:rFonts w:ascii="Arial" w:hAnsi="Arial" w:cs="Arial"/>
          <w:color w:val="000000"/>
          <w:sz w:val="22"/>
          <w:szCs w:val="22"/>
          <w:lang w:eastAsia="de-DE"/>
        </w:rPr>
        <w:t xml:space="preserve">reis wieder auf ein Preisniveau von Vorcorona fallen. </w:t>
      </w:r>
    </w:p>
    <w:p w14:paraId="7405DCD6" w14:textId="478D7DDA" w:rsidR="002F13BB" w:rsidRDefault="006845D9">
      <w:pPr>
        <w:jc w:val="both"/>
        <w:rPr>
          <w:rFonts w:ascii="Arial" w:hAnsi="Arial" w:cs="Arial"/>
          <w:color w:val="000000"/>
          <w:sz w:val="22"/>
          <w:szCs w:val="22"/>
          <w:lang w:eastAsia="de-DE"/>
        </w:rPr>
      </w:pPr>
      <w:r>
        <w:rPr>
          <w:rFonts w:ascii="Arial" w:hAnsi="Arial" w:cs="Arial"/>
          <w:color w:val="000000"/>
          <w:sz w:val="22"/>
          <w:szCs w:val="22"/>
          <w:lang w:eastAsia="de-DE"/>
        </w:rPr>
        <w:t xml:space="preserve">Global beeinflussten zwei entscheidende Ereignisse im Geschäftsjahr 2022 die Preisentwicklung, dort war zum einen die Corona-Pandemie, welche aber zunehmend weniger Präsent war und deren Effekte deutlich weniger zu spüren waren. Allerdings wurden durch den Angriffskrieg Russlands auf die Ukraine die allgemeinen Produktionskosten (Energiepreise, Inflationsangepasste Lohnkosten) gesteigert, zudem kam es im speziellen bei einigen Lieferketten zu ausfällen, insbesondere in der Baumwollwirtschaft. Die Folge waren und sind Preissteigerungen im Einkauf die sich voraussichtlich noch im Geschäftsjahr 2023 und vermutlich auch 2024 fortsetzen werden. </w:t>
      </w:r>
    </w:p>
    <w:p w14:paraId="3C4CB0F4" w14:textId="77777777" w:rsidR="002F13BB" w:rsidRDefault="002F13BB">
      <w:pPr>
        <w:jc w:val="both"/>
        <w:rPr>
          <w:rFonts w:ascii="Arial" w:hAnsi="Arial" w:cs="Arial"/>
          <w:color w:val="000000"/>
          <w:sz w:val="22"/>
          <w:szCs w:val="22"/>
          <w:lang w:eastAsia="de-DE"/>
        </w:rPr>
      </w:pPr>
    </w:p>
    <w:tbl>
      <w:tblPr>
        <w:tblW w:w="9144" w:type="dxa"/>
        <w:tblCellMar>
          <w:left w:w="70" w:type="dxa"/>
          <w:right w:w="70" w:type="dxa"/>
        </w:tblCellMar>
        <w:tblLook w:val="04A0" w:firstRow="1" w:lastRow="0" w:firstColumn="1" w:lastColumn="0" w:noHBand="0" w:noVBand="1"/>
      </w:tblPr>
      <w:tblGrid>
        <w:gridCol w:w="4271"/>
        <w:gridCol w:w="1294"/>
        <w:gridCol w:w="988"/>
        <w:gridCol w:w="1294"/>
        <w:gridCol w:w="1297"/>
      </w:tblGrid>
      <w:tr w:rsidR="00050FC2" w:rsidRPr="00050FC2" w14:paraId="522C5600" w14:textId="77777777" w:rsidTr="00050FC2">
        <w:trPr>
          <w:trHeight w:val="204"/>
        </w:trPr>
        <w:tc>
          <w:tcPr>
            <w:tcW w:w="9144" w:type="dxa"/>
            <w:gridSpan w:val="5"/>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35608072" w14:textId="0EDF346C"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000000"/>
                <w:sz w:val="22"/>
                <w:szCs w:val="22"/>
                <w:lang w:eastAsia="de-DE"/>
              </w:rPr>
            </w:pPr>
            <w:r w:rsidRPr="00050FC2">
              <w:rPr>
                <w:rFonts w:eastAsia="Times New Roman"/>
                <w:color w:val="000000"/>
                <w:sz w:val="22"/>
                <w:szCs w:val="22"/>
                <w:lang w:eastAsia="de-DE"/>
              </w:rPr>
              <w:lastRenderedPageBreak/>
              <w:t>Preisentwicklung ausgewählter Produkte im Geschäftsjahr 202</w:t>
            </w:r>
            <w:r w:rsidR="006845D9">
              <w:rPr>
                <w:rFonts w:eastAsia="Times New Roman"/>
                <w:color w:val="000000"/>
                <w:sz w:val="22"/>
                <w:szCs w:val="22"/>
                <w:lang w:eastAsia="de-DE"/>
              </w:rPr>
              <w:t>2</w:t>
            </w:r>
          </w:p>
        </w:tc>
      </w:tr>
      <w:tr w:rsidR="00050FC2" w:rsidRPr="00050FC2" w14:paraId="5F02C19D" w14:textId="77777777" w:rsidTr="00050FC2">
        <w:trPr>
          <w:trHeight w:val="204"/>
        </w:trPr>
        <w:tc>
          <w:tcPr>
            <w:tcW w:w="4271" w:type="dxa"/>
            <w:tcBorders>
              <w:top w:val="nil"/>
              <w:left w:val="single" w:sz="4" w:space="0" w:color="auto"/>
              <w:bottom w:val="single" w:sz="4" w:space="0" w:color="auto"/>
              <w:right w:val="nil"/>
            </w:tcBorders>
            <w:shd w:val="clear" w:color="000000" w:fill="C6E0B4"/>
            <w:noWrap/>
            <w:vAlign w:val="bottom"/>
            <w:hideMark/>
          </w:tcPr>
          <w:p w14:paraId="09EC2DDF"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050FC2">
              <w:rPr>
                <w:rFonts w:eastAsia="Times New Roman"/>
                <w:color w:val="000000"/>
                <w:sz w:val="22"/>
                <w:szCs w:val="22"/>
                <w:lang w:eastAsia="de-DE"/>
              </w:rPr>
              <w:t>Produkt</w:t>
            </w:r>
          </w:p>
        </w:tc>
        <w:tc>
          <w:tcPr>
            <w:tcW w:w="1294" w:type="dxa"/>
            <w:tcBorders>
              <w:top w:val="nil"/>
              <w:left w:val="nil"/>
              <w:bottom w:val="single" w:sz="4" w:space="0" w:color="auto"/>
              <w:right w:val="nil"/>
            </w:tcBorders>
            <w:shd w:val="clear" w:color="000000" w:fill="A9D08E"/>
            <w:noWrap/>
            <w:vAlign w:val="bottom"/>
            <w:hideMark/>
          </w:tcPr>
          <w:p w14:paraId="44A87EC1" w14:textId="77777777" w:rsidR="00050FC2" w:rsidRPr="00050FC2" w:rsidRDefault="00050FC2" w:rsidP="006845D9">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000000"/>
                <w:sz w:val="22"/>
                <w:szCs w:val="22"/>
                <w:lang w:eastAsia="de-DE"/>
              </w:rPr>
            </w:pPr>
            <w:r w:rsidRPr="00050FC2">
              <w:rPr>
                <w:rFonts w:eastAsia="Times New Roman"/>
                <w:color w:val="000000"/>
                <w:sz w:val="22"/>
                <w:szCs w:val="22"/>
                <w:lang w:eastAsia="de-DE"/>
              </w:rPr>
              <w:t>WS 21/22</w:t>
            </w:r>
          </w:p>
        </w:tc>
        <w:tc>
          <w:tcPr>
            <w:tcW w:w="988" w:type="dxa"/>
            <w:tcBorders>
              <w:top w:val="nil"/>
              <w:left w:val="nil"/>
              <w:bottom w:val="single" w:sz="4" w:space="0" w:color="auto"/>
              <w:right w:val="nil"/>
            </w:tcBorders>
            <w:shd w:val="clear" w:color="000000" w:fill="C6E0B4"/>
            <w:noWrap/>
            <w:vAlign w:val="bottom"/>
            <w:hideMark/>
          </w:tcPr>
          <w:p w14:paraId="0F139B8A" w14:textId="77777777" w:rsidR="00050FC2" w:rsidRPr="00050FC2" w:rsidRDefault="00050FC2" w:rsidP="006845D9">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000000"/>
                <w:sz w:val="22"/>
                <w:szCs w:val="22"/>
                <w:lang w:eastAsia="de-DE"/>
              </w:rPr>
            </w:pPr>
            <w:r w:rsidRPr="00050FC2">
              <w:rPr>
                <w:rFonts w:eastAsia="Times New Roman"/>
                <w:color w:val="000000"/>
                <w:sz w:val="22"/>
                <w:szCs w:val="22"/>
                <w:lang w:eastAsia="de-DE"/>
              </w:rPr>
              <w:t>SS 22</w:t>
            </w:r>
          </w:p>
        </w:tc>
        <w:tc>
          <w:tcPr>
            <w:tcW w:w="1294" w:type="dxa"/>
            <w:tcBorders>
              <w:top w:val="nil"/>
              <w:left w:val="nil"/>
              <w:bottom w:val="single" w:sz="4" w:space="0" w:color="auto"/>
              <w:right w:val="nil"/>
            </w:tcBorders>
            <w:shd w:val="clear" w:color="000000" w:fill="A9D08E"/>
            <w:noWrap/>
            <w:vAlign w:val="bottom"/>
            <w:hideMark/>
          </w:tcPr>
          <w:p w14:paraId="7E42C669" w14:textId="77777777" w:rsidR="00050FC2" w:rsidRPr="00050FC2" w:rsidRDefault="00050FC2" w:rsidP="006845D9">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000000"/>
                <w:sz w:val="22"/>
                <w:szCs w:val="22"/>
                <w:lang w:eastAsia="de-DE"/>
              </w:rPr>
            </w:pPr>
            <w:r w:rsidRPr="00050FC2">
              <w:rPr>
                <w:rFonts w:eastAsia="Times New Roman"/>
                <w:color w:val="000000"/>
                <w:sz w:val="22"/>
                <w:szCs w:val="22"/>
                <w:lang w:eastAsia="de-DE"/>
              </w:rPr>
              <w:t>WS 22/23</w:t>
            </w:r>
          </w:p>
        </w:tc>
        <w:tc>
          <w:tcPr>
            <w:tcW w:w="1296" w:type="dxa"/>
            <w:tcBorders>
              <w:top w:val="nil"/>
              <w:left w:val="nil"/>
              <w:bottom w:val="single" w:sz="4" w:space="0" w:color="auto"/>
              <w:right w:val="single" w:sz="4" w:space="0" w:color="auto"/>
            </w:tcBorders>
            <w:shd w:val="clear" w:color="000000" w:fill="A9D08E"/>
            <w:noWrap/>
            <w:vAlign w:val="bottom"/>
            <w:hideMark/>
          </w:tcPr>
          <w:p w14:paraId="62C29CB5" w14:textId="3C201803" w:rsidR="00050FC2" w:rsidRPr="00050FC2" w:rsidRDefault="00050FC2" w:rsidP="006845D9">
            <w:pPr>
              <w:pBdr>
                <w:top w:val="none" w:sz="0" w:space="0" w:color="auto"/>
                <w:left w:val="none" w:sz="0" w:space="0" w:color="auto"/>
                <w:bottom w:val="none" w:sz="0" w:space="0" w:color="auto"/>
                <w:right w:val="none" w:sz="0" w:space="0" w:color="auto"/>
                <w:between w:val="none" w:sz="0" w:space="0" w:color="auto"/>
              </w:pBdr>
              <w:jc w:val="center"/>
              <w:rPr>
                <w:rFonts w:eastAsia="Times New Roman"/>
                <w:color w:val="000000"/>
                <w:sz w:val="22"/>
                <w:szCs w:val="22"/>
                <w:lang w:eastAsia="de-DE"/>
              </w:rPr>
            </w:pPr>
          </w:p>
        </w:tc>
      </w:tr>
      <w:tr w:rsidR="00050FC2" w:rsidRPr="00050FC2" w14:paraId="155BE628" w14:textId="77777777" w:rsidTr="00050FC2">
        <w:trPr>
          <w:trHeight w:val="204"/>
        </w:trPr>
        <w:tc>
          <w:tcPr>
            <w:tcW w:w="4271" w:type="dxa"/>
            <w:tcBorders>
              <w:top w:val="single" w:sz="4" w:space="0" w:color="auto"/>
              <w:left w:val="single" w:sz="4" w:space="0" w:color="auto"/>
              <w:bottom w:val="nil"/>
              <w:right w:val="nil"/>
            </w:tcBorders>
            <w:shd w:val="clear" w:color="000000" w:fill="C6E0B4"/>
            <w:noWrap/>
            <w:vAlign w:val="bottom"/>
            <w:hideMark/>
          </w:tcPr>
          <w:p w14:paraId="07CA9987"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050FC2">
              <w:rPr>
                <w:rFonts w:eastAsia="Times New Roman"/>
                <w:color w:val="000000"/>
                <w:sz w:val="22"/>
                <w:szCs w:val="22"/>
                <w:lang w:eastAsia="de-DE"/>
              </w:rPr>
              <w:t>Littmann Classic III</w:t>
            </w:r>
          </w:p>
        </w:tc>
        <w:tc>
          <w:tcPr>
            <w:tcW w:w="1294" w:type="dxa"/>
            <w:tcBorders>
              <w:top w:val="single" w:sz="4" w:space="0" w:color="auto"/>
              <w:left w:val="nil"/>
              <w:bottom w:val="nil"/>
              <w:right w:val="nil"/>
            </w:tcBorders>
            <w:shd w:val="clear" w:color="000000" w:fill="A9D08E"/>
            <w:noWrap/>
            <w:vAlign w:val="bottom"/>
            <w:hideMark/>
          </w:tcPr>
          <w:p w14:paraId="02707C54"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85,00 €</w:t>
            </w:r>
          </w:p>
        </w:tc>
        <w:tc>
          <w:tcPr>
            <w:tcW w:w="988" w:type="dxa"/>
            <w:tcBorders>
              <w:top w:val="single" w:sz="4" w:space="0" w:color="auto"/>
              <w:left w:val="nil"/>
              <w:bottom w:val="nil"/>
              <w:right w:val="nil"/>
            </w:tcBorders>
            <w:shd w:val="clear" w:color="000000" w:fill="C6E0B4"/>
            <w:noWrap/>
            <w:vAlign w:val="bottom"/>
            <w:hideMark/>
          </w:tcPr>
          <w:p w14:paraId="305E6368"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85,00 €</w:t>
            </w:r>
          </w:p>
        </w:tc>
        <w:tc>
          <w:tcPr>
            <w:tcW w:w="1294" w:type="dxa"/>
            <w:tcBorders>
              <w:top w:val="single" w:sz="4" w:space="0" w:color="auto"/>
              <w:left w:val="nil"/>
              <w:bottom w:val="nil"/>
              <w:right w:val="nil"/>
            </w:tcBorders>
            <w:shd w:val="clear" w:color="000000" w:fill="A9D08E"/>
            <w:noWrap/>
            <w:vAlign w:val="bottom"/>
            <w:hideMark/>
          </w:tcPr>
          <w:p w14:paraId="30184BCD"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85,00 €</w:t>
            </w:r>
          </w:p>
        </w:tc>
        <w:tc>
          <w:tcPr>
            <w:tcW w:w="1296" w:type="dxa"/>
            <w:tcBorders>
              <w:top w:val="single" w:sz="4" w:space="0" w:color="auto"/>
              <w:left w:val="nil"/>
              <w:bottom w:val="nil"/>
              <w:right w:val="single" w:sz="4" w:space="0" w:color="auto"/>
            </w:tcBorders>
            <w:shd w:val="clear" w:color="000000" w:fill="A9D08E"/>
            <w:noWrap/>
            <w:vAlign w:val="bottom"/>
            <w:hideMark/>
          </w:tcPr>
          <w:p w14:paraId="2F20B8BD"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0,00%</w:t>
            </w:r>
          </w:p>
        </w:tc>
      </w:tr>
      <w:tr w:rsidR="00050FC2" w:rsidRPr="00050FC2" w14:paraId="68C5973E" w14:textId="77777777" w:rsidTr="00050FC2">
        <w:trPr>
          <w:trHeight w:val="204"/>
        </w:trPr>
        <w:tc>
          <w:tcPr>
            <w:tcW w:w="4271" w:type="dxa"/>
            <w:tcBorders>
              <w:top w:val="nil"/>
              <w:left w:val="single" w:sz="4" w:space="0" w:color="auto"/>
              <w:bottom w:val="nil"/>
              <w:right w:val="nil"/>
            </w:tcBorders>
            <w:shd w:val="clear" w:color="000000" w:fill="C6E0B4"/>
            <w:noWrap/>
            <w:vAlign w:val="bottom"/>
            <w:hideMark/>
          </w:tcPr>
          <w:p w14:paraId="0199488E"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050FC2">
              <w:rPr>
                <w:rFonts w:eastAsia="Times New Roman"/>
                <w:color w:val="000000"/>
                <w:sz w:val="22"/>
                <w:szCs w:val="22"/>
                <w:lang w:eastAsia="de-DE"/>
              </w:rPr>
              <w:t xml:space="preserve">Peil Professional </w:t>
            </w:r>
            <w:proofErr w:type="spellStart"/>
            <w:r w:rsidRPr="00050FC2">
              <w:rPr>
                <w:rFonts w:eastAsia="Times New Roman"/>
                <w:color w:val="000000"/>
                <w:sz w:val="22"/>
                <w:szCs w:val="22"/>
                <w:lang w:eastAsia="de-DE"/>
              </w:rPr>
              <w:t>Cardiology</w:t>
            </w:r>
            <w:proofErr w:type="spellEnd"/>
            <w:r w:rsidRPr="00050FC2">
              <w:rPr>
                <w:rFonts w:eastAsia="Times New Roman"/>
                <w:color w:val="000000"/>
                <w:sz w:val="22"/>
                <w:szCs w:val="22"/>
                <w:lang w:eastAsia="de-DE"/>
              </w:rPr>
              <w:t xml:space="preserve"> 4000</w:t>
            </w:r>
          </w:p>
        </w:tc>
        <w:tc>
          <w:tcPr>
            <w:tcW w:w="1294" w:type="dxa"/>
            <w:tcBorders>
              <w:top w:val="nil"/>
              <w:left w:val="nil"/>
              <w:bottom w:val="nil"/>
              <w:right w:val="nil"/>
            </w:tcBorders>
            <w:shd w:val="clear" w:color="000000" w:fill="A9D08E"/>
            <w:noWrap/>
            <w:vAlign w:val="bottom"/>
            <w:hideMark/>
          </w:tcPr>
          <w:p w14:paraId="70810FA7"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75,00 €</w:t>
            </w:r>
          </w:p>
        </w:tc>
        <w:tc>
          <w:tcPr>
            <w:tcW w:w="988" w:type="dxa"/>
            <w:tcBorders>
              <w:top w:val="nil"/>
              <w:left w:val="nil"/>
              <w:bottom w:val="nil"/>
              <w:right w:val="nil"/>
            </w:tcBorders>
            <w:shd w:val="clear" w:color="000000" w:fill="C6E0B4"/>
            <w:noWrap/>
            <w:vAlign w:val="bottom"/>
            <w:hideMark/>
          </w:tcPr>
          <w:p w14:paraId="22426FFC"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75,00 €</w:t>
            </w:r>
          </w:p>
        </w:tc>
        <w:tc>
          <w:tcPr>
            <w:tcW w:w="1294" w:type="dxa"/>
            <w:tcBorders>
              <w:top w:val="nil"/>
              <w:left w:val="nil"/>
              <w:bottom w:val="nil"/>
              <w:right w:val="nil"/>
            </w:tcBorders>
            <w:shd w:val="clear" w:color="000000" w:fill="A9D08E"/>
            <w:noWrap/>
            <w:vAlign w:val="bottom"/>
            <w:hideMark/>
          </w:tcPr>
          <w:p w14:paraId="69CECE5E"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75,00 €</w:t>
            </w:r>
          </w:p>
        </w:tc>
        <w:tc>
          <w:tcPr>
            <w:tcW w:w="1296" w:type="dxa"/>
            <w:tcBorders>
              <w:top w:val="nil"/>
              <w:left w:val="nil"/>
              <w:bottom w:val="nil"/>
              <w:right w:val="single" w:sz="4" w:space="0" w:color="auto"/>
            </w:tcBorders>
            <w:shd w:val="clear" w:color="000000" w:fill="A9D08E"/>
            <w:noWrap/>
            <w:vAlign w:val="bottom"/>
            <w:hideMark/>
          </w:tcPr>
          <w:p w14:paraId="3DCFD25A"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0,00%</w:t>
            </w:r>
          </w:p>
        </w:tc>
      </w:tr>
      <w:tr w:rsidR="00050FC2" w:rsidRPr="00050FC2" w14:paraId="71FB42AC" w14:textId="77777777" w:rsidTr="00050FC2">
        <w:trPr>
          <w:trHeight w:val="204"/>
        </w:trPr>
        <w:tc>
          <w:tcPr>
            <w:tcW w:w="4271" w:type="dxa"/>
            <w:tcBorders>
              <w:top w:val="nil"/>
              <w:left w:val="single" w:sz="4" w:space="0" w:color="auto"/>
              <w:bottom w:val="nil"/>
              <w:right w:val="nil"/>
            </w:tcBorders>
            <w:shd w:val="clear" w:color="000000" w:fill="C6E0B4"/>
            <w:noWrap/>
            <w:vAlign w:val="bottom"/>
            <w:hideMark/>
          </w:tcPr>
          <w:p w14:paraId="7F480979"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050FC2">
              <w:rPr>
                <w:rFonts w:eastAsia="Times New Roman"/>
                <w:color w:val="000000"/>
                <w:sz w:val="22"/>
                <w:szCs w:val="22"/>
                <w:lang w:eastAsia="de-DE"/>
              </w:rPr>
              <w:t>MDF Stethoskop</w:t>
            </w:r>
          </w:p>
        </w:tc>
        <w:tc>
          <w:tcPr>
            <w:tcW w:w="1294" w:type="dxa"/>
            <w:tcBorders>
              <w:top w:val="nil"/>
              <w:left w:val="nil"/>
              <w:bottom w:val="nil"/>
              <w:right w:val="nil"/>
            </w:tcBorders>
            <w:shd w:val="clear" w:color="000000" w:fill="A9D08E"/>
            <w:noWrap/>
            <w:vAlign w:val="bottom"/>
            <w:hideMark/>
          </w:tcPr>
          <w:p w14:paraId="09A07300"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51,00 €</w:t>
            </w:r>
          </w:p>
        </w:tc>
        <w:tc>
          <w:tcPr>
            <w:tcW w:w="988" w:type="dxa"/>
            <w:tcBorders>
              <w:top w:val="nil"/>
              <w:left w:val="nil"/>
              <w:bottom w:val="nil"/>
              <w:right w:val="nil"/>
            </w:tcBorders>
            <w:shd w:val="clear" w:color="000000" w:fill="C6E0B4"/>
            <w:noWrap/>
            <w:vAlign w:val="bottom"/>
            <w:hideMark/>
          </w:tcPr>
          <w:p w14:paraId="6B688D35"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51,00 €</w:t>
            </w:r>
          </w:p>
        </w:tc>
        <w:tc>
          <w:tcPr>
            <w:tcW w:w="1294" w:type="dxa"/>
            <w:tcBorders>
              <w:top w:val="nil"/>
              <w:left w:val="nil"/>
              <w:bottom w:val="nil"/>
              <w:right w:val="nil"/>
            </w:tcBorders>
            <w:shd w:val="clear" w:color="000000" w:fill="A9D08E"/>
            <w:noWrap/>
            <w:vAlign w:val="bottom"/>
            <w:hideMark/>
          </w:tcPr>
          <w:p w14:paraId="24FE0BAA"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51,00 €</w:t>
            </w:r>
          </w:p>
        </w:tc>
        <w:tc>
          <w:tcPr>
            <w:tcW w:w="1296" w:type="dxa"/>
            <w:tcBorders>
              <w:top w:val="nil"/>
              <w:left w:val="nil"/>
              <w:bottom w:val="nil"/>
              <w:right w:val="single" w:sz="4" w:space="0" w:color="auto"/>
            </w:tcBorders>
            <w:shd w:val="clear" w:color="000000" w:fill="A9D08E"/>
            <w:noWrap/>
            <w:vAlign w:val="bottom"/>
            <w:hideMark/>
          </w:tcPr>
          <w:p w14:paraId="41123154"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0,00%</w:t>
            </w:r>
          </w:p>
        </w:tc>
      </w:tr>
      <w:tr w:rsidR="00050FC2" w:rsidRPr="00050FC2" w14:paraId="7CDF1877" w14:textId="77777777" w:rsidTr="00050FC2">
        <w:trPr>
          <w:trHeight w:val="204"/>
        </w:trPr>
        <w:tc>
          <w:tcPr>
            <w:tcW w:w="4271" w:type="dxa"/>
            <w:tcBorders>
              <w:top w:val="nil"/>
              <w:left w:val="single" w:sz="4" w:space="0" w:color="auto"/>
              <w:bottom w:val="nil"/>
              <w:right w:val="nil"/>
            </w:tcBorders>
            <w:shd w:val="clear" w:color="000000" w:fill="C6E0B4"/>
            <w:noWrap/>
            <w:vAlign w:val="bottom"/>
            <w:hideMark/>
          </w:tcPr>
          <w:p w14:paraId="4F39B48C"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proofErr w:type="spellStart"/>
            <w:r w:rsidRPr="00050FC2">
              <w:rPr>
                <w:rFonts w:eastAsia="Times New Roman"/>
                <w:color w:val="000000"/>
                <w:sz w:val="22"/>
                <w:szCs w:val="22"/>
                <w:lang w:eastAsia="de-DE"/>
              </w:rPr>
              <w:t>Trömner</w:t>
            </w:r>
            <w:proofErr w:type="spellEnd"/>
          </w:p>
        </w:tc>
        <w:tc>
          <w:tcPr>
            <w:tcW w:w="1294" w:type="dxa"/>
            <w:tcBorders>
              <w:top w:val="nil"/>
              <w:left w:val="nil"/>
              <w:bottom w:val="nil"/>
              <w:right w:val="nil"/>
            </w:tcBorders>
            <w:shd w:val="clear" w:color="000000" w:fill="A9D08E"/>
            <w:noWrap/>
            <w:vAlign w:val="bottom"/>
            <w:hideMark/>
          </w:tcPr>
          <w:p w14:paraId="73D046A2"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14,00 €</w:t>
            </w:r>
          </w:p>
        </w:tc>
        <w:tc>
          <w:tcPr>
            <w:tcW w:w="988" w:type="dxa"/>
            <w:tcBorders>
              <w:top w:val="nil"/>
              <w:left w:val="nil"/>
              <w:bottom w:val="nil"/>
              <w:right w:val="nil"/>
            </w:tcBorders>
            <w:shd w:val="clear" w:color="000000" w:fill="C6E0B4"/>
            <w:noWrap/>
            <w:vAlign w:val="bottom"/>
            <w:hideMark/>
          </w:tcPr>
          <w:p w14:paraId="1832A4A6"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14,00 €</w:t>
            </w:r>
          </w:p>
        </w:tc>
        <w:tc>
          <w:tcPr>
            <w:tcW w:w="1294" w:type="dxa"/>
            <w:tcBorders>
              <w:top w:val="nil"/>
              <w:left w:val="nil"/>
              <w:bottom w:val="nil"/>
              <w:right w:val="nil"/>
            </w:tcBorders>
            <w:shd w:val="clear" w:color="000000" w:fill="A9D08E"/>
            <w:noWrap/>
            <w:vAlign w:val="bottom"/>
            <w:hideMark/>
          </w:tcPr>
          <w:p w14:paraId="69E32814"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14,00 €</w:t>
            </w:r>
          </w:p>
        </w:tc>
        <w:tc>
          <w:tcPr>
            <w:tcW w:w="1296" w:type="dxa"/>
            <w:tcBorders>
              <w:top w:val="nil"/>
              <w:left w:val="nil"/>
              <w:bottom w:val="nil"/>
              <w:right w:val="single" w:sz="4" w:space="0" w:color="auto"/>
            </w:tcBorders>
            <w:shd w:val="clear" w:color="000000" w:fill="A9D08E"/>
            <w:noWrap/>
            <w:vAlign w:val="bottom"/>
            <w:hideMark/>
          </w:tcPr>
          <w:p w14:paraId="4A8574CF"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0,00%</w:t>
            </w:r>
          </w:p>
        </w:tc>
      </w:tr>
      <w:tr w:rsidR="00050FC2" w:rsidRPr="00050FC2" w14:paraId="1D732066" w14:textId="77777777" w:rsidTr="00050FC2">
        <w:trPr>
          <w:trHeight w:val="204"/>
        </w:trPr>
        <w:tc>
          <w:tcPr>
            <w:tcW w:w="4271" w:type="dxa"/>
            <w:tcBorders>
              <w:top w:val="nil"/>
              <w:left w:val="single" w:sz="4" w:space="0" w:color="auto"/>
              <w:bottom w:val="nil"/>
              <w:right w:val="nil"/>
            </w:tcBorders>
            <w:shd w:val="clear" w:color="000000" w:fill="C6E0B4"/>
            <w:noWrap/>
            <w:vAlign w:val="bottom"/>
            <w:hideMark/>
          </w:tcPr>
          <w:p w14:paraId="15BA8352"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050FC2">
              <w:rPr>
                <w:rFonts w:eastAsia="Times New Roman"/>
                <w:color w:val="000000"/>
                <w:sz w:val="22"/>
                <w:szCs w:val="22"/>
                <w:lang w:eastAsia="de-DE"/>
              </w:rPr>
              <w:t>Visitenkittel</w:t>
            </w:r>
          </w:p>
        </w:tc>
        <w:tc>
          <w:tcPr>
            <w:tcW w:w="1294" w:type="dxa"/>
            <w:tcBorders>
              <w:top w:val="nil"/>
              <w:left w:val="nil"/>
              <w:bottom w:val="nil"/>
              <w:right w:val="nil"/>
            </w:tcBorders>
            <w:shd w:val="clear" w:color="000000" w:fill="A9D08E"/>
            <w:noWrap/>
            <w:vAlign w:val="bottom"/>
            <w:hideMark/>
          </w:tcPr>
          <w:p w14:paraId="2F4C9E75"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20,00 €</w:t>
            </w:r>
          </w:p>
        </w:tc>
        <w:tc>
          <w:tcPr>
            <w:tcW w:w="988" w:type="dxa"/>
            <w:tcBorders>
              <w:top w:val="nil"/>
              <w:left w:val="nil"/>
              <w:bottom w:val="nil"/>
              <w:right w:val="nil"/>
            </w:tcBorders>
            <w:shd w:val="clear" w:color="000000" w:fill="C6E0B4"/>
            <w:noWrap/>
            <w:vAlign w:val="bottom"/>
            <w:hideMark/>
          </w:tcPr>
          <w:p w14:paraId="2967B4CA"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23,00 €</w:t>
            </w:r>
          </w:p>
        </w:tc>
        <w:tc>
          <w:tcPr>
            <w:tcW w:w="1294" w:type="dxa"/>
            <w:tcBorders>
              <w:top w:val="nil"/>
              <w:left w:val="nil"/>
              <w:bottom w:val="nil"/>
              <w:right w:val="nil"/>
            </w:tcBorders>
            <w:shd w:val="clear" w:color="000000" w:fill="A9D08E"/>
            <w:noWrap/>
            <w:vAlign w:val="bottom"/>
            <w:hideMark/>
          </w:tcPr>
          <w:p w14:paraId="0A8F6B66"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23,00 €</w:t>
            </w:r>
          </w:p>
        </w:tc>
        <w:tc>
          <w:tcPr>
            <w:tcW w:w="1296" w:type="dxa"/>
            <w:tcBorders>
              <w:top w:val="nil"/>
              <w:left w:val="nil"/>
              <w:bottom w:val="nil"/>
              <w:right w:val="single" w:sz="4" w:space="0" w:color="auto"/>
            </w:tcBorders>
            <w:shd w:val="clear" w:color="000000" w:fill="A9D08E"/>
            <w:noWrap/>
            <w:vAlign w:val="bottom"/>
            <w:hideMark/>
          </w:tcPr>
          <w:p w14:paraId="3B17DC81"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0,00%</w:t>
            </w:r>
          </w:p>
        </w:tc>
      </w:tr>
      <w:tr w:rsidR="00050FC2" w:rsidRPr="00050FC2" w14:paraId="6B6FEF90" w14:textId="77777777" w:rsidTr="00050FC2">
        <w:trPr>
          <w:trHeight w:val="204"/>
        </w:trPr>
        <w:tc>
          <w:tcPr>
            <w:tcW w:w="4271" w:type="dxa"/>
            <w:tcBorders>
              <w:top w:val="nil"/>
              <w:left w:val="single" w:sz="4" w:space="0" w:color="auto"/>
              <w:bottom w:val="nil"/>
              <w:right w:val="nil"/>
            </w:tcBorders>
            <w:shd w:val="clear" w:color="000000" w:fill="C6E0B4"/>
            <w:noWrap/>
            <w:vAlign w:val="bottom"/>
            <w:hideMark/>
          </w:tcPr>
          <w:p w14:paraId="64AEB33B"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proofErr w:type="spellStart"/>
            <w:r w:rsidRPr="00050FC2">
              <w:rPr>
                <w:rFonts w:eastAsia="Times New Roman"/>
                <w:color w:val="000000"/>
                <w:sz w:val="22"/>
                <w:szCs w:val="22"/>
                <w:lang w:eastAsia="de-DE"/>
              </w:rPr>
              <w:t>Präpkittel</w:t>
            </w:r>
            <w:proofErr w:type="spellEnd"/>
          </w:p>
        </w:tc>
        <w:tc>
          <w:tcPr>
            <w:tcW w:w="1294" w:type="dxa"/>
            <w:tcBorders>
              <w:top w:val="nil"/>
              <w:left w:val="nil"/>
              <w:bottom w:val="nil"/>
              <w:right w:val="nil"/>
            </w:tcBorders>
            <w:shd w:val="clear" w:color="000000" w:fill="A9D08E"/>
            <w:noWrap/>
            <w:vAlign w:val="bottom"/>
            <w:hideMark/>
          </w:tcPr>
          <w:p w14:paraId="1D1ED7E5"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14,00 €</w:t>
            </w:r>
          </w:p>
        </w:tc>
        <w:tc>
          <w:tcPr>
            <w:tcW w:w="988" w:type="dxa"/>
            <w:tcBorders>
              <w:top w:val="nil"/>
              <w:left w:val="nil"/>
              <w:bottom w:val="nil"/>
              <w:right w:val="nil"/>
            </w:tcBorders>
            <w:shd w:val="clear" w:color="000000" w:fill="C6E0B4"/>
            <w:noWrap/>
            <w:vAlign w:val="bottom"/>
            <w:hideMark/>
          </w:tcPr>
          <w:p w14:paraId="434D3087"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14,00 €</w:t>
            </w:r>
          </w:p>
        </w:tc>
        <w:tc>
          <w:tcPr>
            <w:tcW w:w="1294" w:type="dxa"/>
            <w:tcBorders>
              <w:top w:val="nil"/>
              <w:left w:val="nil"/>
              <w:bottom w:val="nil"/>
              <w:right w:val="nil"/>
            </w:tcBorders>
            <w:shd w:val="clear" w:color="000000" w:fill="A9D08E"/>
            <w:noWrap/>
            <w:vAlign w:val="bottom"/>
            <w:hideMark/>
          </w:tcPr>
          <w:p w14:paraId="034B77B3"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FF0000"/>
                <w:sz w:val="22"/>
                <w:szCs w:val="22"/>
                <w:lang w:eastAsia="de-DE"/>
              </w:rPr>
            </w:pPr>
            <w:r w:rsidRPr="00050FC2">
              <w:rPr>
                <w:rFonts w:eastAsia="Times New Roman"/>
                <w:color w:val="FF0000"/>
                <w:sz w:val="22"/>
                <w:szCs w:val="22"/>
                <w:lang w:eastAsia="de-DE"/>
              </w:rPr>
              <w:t>17,00 €</w:t>
            </w:r>
          </w:p>
        </w:tc>
        <w:tc>
          <w:tcPr>
            <w:tcW w:w="1296" w:type="dxa"/>
            <w:tcBorders>
              <w:top w:val="nil"/>
              <w:left w:val="nil"/>
              <w:bottom w:val="nil"/>
              <w:right w:val="single" w:sz="4" w:space="0" w:color="auto"/>
            </w:tcBorders>
            <w:shd w:val="clear" w:color="000000" w:fill="A9D08E"/>
            <w:noWrap/>
            <w:vAlign w:val="bottom"/>
            <w:hideMark/>
          </w:tcPr>
          <w:p w14:paraId="013BBA8A"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b/>
                <w:bCs/>
                <w:color w:val="FF0000"/>
                <w:sz w:val="22"/>
                <w:szCs w:val="22"/>
                <w:lang w:eastAsia="de-DE"/>
              </w:rPr>
            </w:pPr>
            <w:r w:rsidRPr="00050FC2">
              <w:rPr>
                <w:rFonts w:eastAsia="Times New Roman"/>
                <w:b/>
                <w:bCs/>
                <w:color w:val="FF0000"/>
                <w:sz w:val="22"/>
                <w:szCs w:val="22"/>
                <w:lang w:eastAsia="de-DE"/>
              </w:rPr>
              <w:t>21,43%</w:t>
            </w:r>
          </w:p>
        </w:tc>
      </w:tr>
      <w:tr w:rsidR="00050FC2" w:rsidRPr="00050FC2" w14:paraId="0019197B" w14:textId="77777777" w:rsidTr="00050FC2">
        <w:trPr>
          <w:trHeight w:val="204"/>
        </w:trPr>
        <w:tc>
          <w:tcPr>
            <w:tcW w:w="4271" w:type="dxa"/>
            <w:tcBorders>
              <w:top w:val="nil"/>
              <w:left w:val="single" w:sz="4" w:space="0" w:color="auto"/>
              <w:bottom w:val="single" w:sz="4" w:space="0" w:color="auto"/>
              <w:right w:val="nil"/>
            </w:tcBorders>
            <w:shd w:val="clear" w:color="000000" w:fill="C6E0B4"/>
            <w:noWrap/>
            <w:vAlign w:val="bottom"/>
            <w:hideMark/>
          </w:tcPr>
          <w:p w14:paraId="40465753"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rPr>
                <w:rFonts w:eastAsia="Times New Roman"/>
                <w:color w:val="000000"/>
                <w:sz w:val="22"/>
                <w:szCs w:val="22"/>
                <w:lang w:eastAsia="de-DE"/>
              </w:rPr>
            </w:pPr>
            <w:r w:rsidRPr="00050FC2">
              <w:rPr>
                <w:rFonts w:eastAsia="Times New Roman"/>
                <w:color w:val="000000"/>
                <w:sz w:val="22"/>
                <w:szCs w:val="22"/>
                <w:lang w:eastAsia="de-DE"/>
              </w:rPr>
              <w:t xml:space="preserve">Handschuhe (normal, </w:t>
            </w:r>
            <w:proofErr w:type="spellStart"/>
            <w:r w:rsidRPr="00050FC2">
              <w:rPr>
                <w:rFonts w:eastAsia="Times New Roman"/>
                <w:color w:val="000000"/>
                <w:sz w:val="22"/>
                <w:szCs w:val="22"/>
                <w:lang w:eastAsia="de-DE"/>
              </w:rPr>
              <w:t>nitril</w:t>
            </w:r>
            <w:proofErr w:type="spellEnd"/>
            <w:r w:rsidRPr="00050FC2">
              <w:rPr>
                <w:rFonts w:eastAsia="Times New Roman"/>
                <w:color w:val="000000"/>
                <w:sz w:val="22"/>
                <w:szCs w:val="22"/>
                <w:lang w:eastAsia="de-DE"/>
              </w:rPr>
              <w:t>)</w:t>
            </w:r>
          </w:p>
        </w:tc>
        <w:tc>
          <w:tcPr>
            <w:tcW w:w="1294" w:type="dxa"/>
            <w:tcBorders>
              <w:top w:val="nil"/>
              <w:left w:val="nil"/>
              <w:bottom w:val="single" w:sz="4" w:space="0" w:color="auto"/>
              <w:right w:val="nil"/>
            </w:tcBorders>
            <w:shd w:val="clear" w:color="000000" w:fill="A9D08E"/>
            <w:noWrap/>
            <w:vAlign w:val="bottom"/>
            <w:hideMark/>
          </w:tcPr>
          <w:p w14:paraId="6590E716"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000000"/>
                <w:sz w:val="22"/>
                <w:szCs w:val="22"/>
                <w:lang w:eastAsia="de-DE"/>
              </w:rPr>
            </w:pPr>
            <w:r w:rsidRPr="00050FC2">
              <w:rPr>
                <w:rFonts w:eastAsia="Times New Roman"/>
                <w:color w:val="000000"/>
                <w:sz w:val="22"/>
                <w:szCs w:val="22"/>
                <w:lang w:eastAsia="de-DE"/>
              </w:rPr>
              <w:t>14,00 €</w:t>
            </w:r>
          </w:p>
        </w:tc>
        <w:tc>
          <w:tcPr>
            <w:tcW w:w="988" w:type="dxa"/>
            <w:tcBorders>
              <w:top w:val="nil"/>
              <w:left w:val="nil"/>
              <w:bottom w:val="single" w:sz="4" w:space="0" w:color="auto"/>
              <w:right w:val="nil"/>
            </w:tcBorders>
            <w:shd w:val="clear" w:color="000000" w:fill="C6E0B4"/>
            <w:noWrap/>
            <w:vAlign w:val="bottom"/>
            <w:hideMark/>
          </w:tcPr>
          <w:p w14:paraId="02FE3254"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FF0000"/>
                <w:sz w:val="22"/>
                <w:szCs w:val="22"/>
                <w:lang w:eastAsia="de-DE"/>
              </w:rPr>
            </w:pPr>
            <w:r w:rsidRPr="00050FC2">
              <w:rPr>
                <w:rFonts w:eastAsia="Times New Roman"/>
                <w:color w:val="FF0000"/>
                <w:sz w:val="22"/>
                <w:szCs w:val="22"/>
                <w:lang w:eastAsia="de-DE"/>
              </w:rPr>
              <w:t>14,50 €</w:t>
            </w:r>
          </w:p>
        </w:tc>
        <w:tc>
          <w:tcPr>
            <w:tcW w:w="1294" w:type="dxa"/>
            <w:tcBorders>
              <w:top w:val="nil"/>
              <w:left w:val="nil"/>
              <w:bottom w:val="single" w:sz="4" w:space="0" w:color="auto"/>
              <w:right w:val="nil"/>
            </w:tcBorders>
            <w:shd w:val="clear" w:color="000000" w:fill="A9D08E"/>
            <w:noWrap/>
            <w:vAlign w:val="bottom"/>
            <w:hideMark/>
          </w:tcPr>
          <w:p w14:paraId="6CDD733D"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color w:val="FF0000"/>
                <w:sz w:val="22"/>
                <w:szCs w:val="22"/>
                <w:lang w:eastAsia="de-DE"/>
              </w:rPr>
            </w:pPr>
            <w:r w:rsidRPr="00050FC2">
              <w:rPr>
                <w:rFonts w:eastAsia="Times New Roman"/>
                <w:color w:val="FF0000"/>
                <w:sz w:val="22"/>
                <w:szCs w:val="22"/>
                <w:lang w:eastAsia="de-DE"/>
              </w:rPr>
              <w:t>8,00 €</w:t>
            </w:r>
          </w:p>
        </w:tc>
        <w:tc>
          <w:tcPr>
            <w:tcW w:w="1296" w:type="dxa"/>
            <w:tcBorders>
              <w:top w:val="nil"/>
              <w:left w:val="nil"/>
              <w:bottom w:val="single" w:sz="4" w:space="0" w:color="auto"/>
              <w:right w:val="single" w:sz="4" w:space="0" w:color="auto"/>
            </w:tcBorders>
            <w:shd w:val="clear" w:color="000000" w:fill="A9D08E"/>
            <w:noWrap/>
            <w:vAlign w:val="bottom"/>
            <w:hideMark/>
          </w:tcPr>
          <w:p w14:paraId="069AEA3F" w14:textId="77777777" w:rsidR="00050FC2" w:rsidRPr="00050FC2" w:rsidRDefault="00050FC2" w:rsidP="00050FC2">
            <w:pPr>
              <w:pBdr>
                <w:top w:val="none" w:sz="0" w:space="0" w:color="auto"/>
                <w:left w:val="none" w:sz="0" w:space="0" w:color="auto"/>
                <w:bottom w:val="none" w:sz="0" w:space="0" w:color="auto"/>
                <w:right w:val="none" w:sz="0" w:space="0" w:color="auto"/>
                <w:between w:val="none" w:sz="0" w:space="0" w:color="auto"/>
              </w:pBdr>
              <w:jc w:val="right"/>
              <w:rPr>
                <w:rFonts w:eastAsia="Times New Roman"/>
                <w:b/>
                <w:bCs/>
                <w:color w:val="FF0000"/>
                <w:sz w:val="22"/>
                <w:szCs w:val="22"/>
                <w:lang w:eastAsia="de-DE"/>
              </w:rPr>
            </w:pPr>
            <w:r w:rsidRPr="00050FC2">
              <w:rPr>
                <w:rFonts w:eastAsia="Times New Roman"/>
                <w:b/>
                <w:bCs/>
                <w:color w:val="FF0000"/>
                <w:sz w:val="22"/>
                <w:szCs w:val="22"/>
                <w:lang w:eastAsia="de-DE"/>
              </w:rPr>
              <w:t>-44,83%</w:t>
            </w:r>
          </w:p>
        </w:tc>
      </w:tr>
    </w:tbl>
    <w:p w14:paraId="542E6B49" w14:textId="77777777" w:rsidR="00050FC2" w:rsidRDefault="00050FC2">
      <w:pPr>
        <w:jc w:val="both"/>
        <w:rPr>
          <w:rFonts w:ascii="Arial" w:hAnsi="Arial" w:cs="Arial"/>
          <w:color w:val="000000"/>
          <w:sz w:val="22"/>
          <w:szCs w:val="22"/>
          <w:lang w:eastAsia="de-DE"/>
        </w:rPr>
      </w:pPr>
    </w:p>
    <w:p w14:paraId="49069BB9" w14:textId="53B61862" w:rsidR="00B172A2" w:rsidRPr="00A16AD9" w:rsidRDefault="00C42DE6">
      <w:pPr>
        <w:jc w:val="both"/>
        <w:rPr>
          <w:rFonts w:ascii="Arial" w:hAnsi="Arial" w:cs="Arial"/>
          <w:color w:val="000000"/>
          <w:sz w:val="22"/>
          <w:szCs w:val="22"/>
          <w:lang w:eastAsia="de-DE"/>
        </w:rPr>
      </w:pPr>
      <w:r>
        <w:rPr>
          <w:rFonts w:ascii="Arial" w:hAnsi="Arial" w:cs="Arial"/>
          <w:color w:val="000000"/>
          <w:sz w:val="22"/>
          <w:szCs w:val="22"/>
          <w:lang w:eastAsia="de-DE"/>
        </w:rPr>
        <w:t xml:space="preserve">Auf Wunsch der HSG-Leitungen wird im ersten Quartal 2023 in Berlin ein reines Kartenzahlungssystem eingeführt, welches nach einer erfolgreichen Testphase ausgeweitet werden soll. Dazu wurden unterschiedliche Anbieter verglichen und </w:t>
      </w:r>
      <w:proofErr w:type="spellStart"/>
      <w:r>
        <w:rPr>
          <w:rFonts w:ascii="Arial" w:hAnsi="Arial" w:cs="Arial"/>
          <w:color w:val="000000"/>
          <w:sz w:val="22"/>
          <w:szCs w:val="22"/>
          <w:lang w:eastAsia="de-DE"/>
        </w:rPr>
        <w:t>Sum</w:t>
      </w:r>
      <w:proofErr w:type="spellEnd"/>
      <w:r>
        <w:rPr>
          <w:rFonts w:ascii="Arial" w:hAnsi="Arial" w:cs="Arial"/>
          <w:color w:val="000000"/>
          <w:sz w:val="22"/>
          <w:szCs w:val="22"/>
          <w:lang w:eastAsia="de-DE"/>
        </w:rPr>
        <w:t xml:space="preserve"> Up stellte </w:t>
      </w:r>
      <w:r w:rsidR="00C14505">
        <w:rPr>
          <w:rFonts w:ascii="Arial" w:hAnsi="Arial" w:cs="Arial"/>
          <w:color w:val="000000"/>
          <w:sz w:val="22"/>
          <w:szCs w:val="22"/>
          <w:lang w:eastAsia="de-DE"/>
        </w:rPr>
        <w:t xml:space="preserve">sich </w:t>
      </w:r>
      <w:r>
        <w:rPr>
          <w:rFonts w:ascii="Arial" w:hAnsi="Arial" w:cs="Arial"/>
          <w:color w:val="000000"/>
          <w:sz w:val="22"/>
          <w:szCs w:val="22"/>
          <w:lang w:eastAsia="de-DE"/>
        </w:rPr>
        <w:t xml:space="preserve">als für uns am </w:t>
      </w:r>
      <w:r w:rsidR="00C14505">
        <w:rPr>
          <w:rFonts w:ascii="Arial" w:hAnsi="Arial" w:cs="Arial"/>
          <w:color w:val="000000"/>
          <w:sz w:val="22"/>
          <w:szCs w:val="22"/>
          <w:lang w:eastAsia="de-DE"/>
        </w:rPr>
        <w:t>günstigsten</w:t>
      </w:r>
      <w:r>
        <w:rPr>
          <w:rFonts w:ascii="Arial" w:hAnsi="Arial" w:cs="Arial"/>
          <w:color w:val="000000"/>
          <w:sz w:val="22"/>
          <w:szCs w:val="22"/>
          <w:lang w:eastAsia="de-DE"/>
        </w:rPr>
        <w:t xml:space="preserve"> heraus. Dabei entstehen Kosten in Höhe von 2% pro Transaktion, sowie Anschaffungskosten</w:t>
      </w:r>
      <w:r w:rsidR="00C14505">
        <w:rPr>
          <w:rFonts w:ascii="Arial" w:hAnsi="Arial" w:cs="Arial"/>
          <w:color w:val="000000"/>
          <w:sz w:val="22"/>
          <w:szCs w:val="22"/>
          <w:lang w:eastAsia="de-DE"/>
        </w:rPr>
        <w:t xml:space="preserve">, die aber in Summe günstiger sind als die anderen Anbieter und ähnlich hoch wie unsere Kosten durch die Bargeldnutzung (insb. Einzahlungsgebühren und Verluste durch Schwund in den Kassen). </w:t>
      </w:r>
    </w:p>
    <w:sectPr w:rsidR="00B172A2" w:rsidRPr="00A16AD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CA67" w14:textId="77777777" w:rsidR="006373E1" w:rsidRDefault="006373E1">
      <w:r>
        <w:separator/>
      </w:r>
    </w:p>
  </w:endnote>
  <w:endnote w:type="continuationSeparator" w:id="0">
    <w:p w14:paraId="6F0BFE38" w14:textId="77777777" w:rsidR="006373E1" w:rsidRDefault="0063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6AC4" w14:textId="77777777" w:rsidR="005D3536" w:rsidRDefault="00641F6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179CFF" w14:textId="77777777" w:rsidR="005D3536" w:rsidRDefault="005D35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A95B" w14:textId="77777777" w:rsidR="005D3536" w:rsidRDefault="00641F6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w:t>
    </w:r>
    <w:r>
      <w:rPr>
        <w:rStyle w:val="Seitenzahl"/>
      </w:rPr>
      <w:fldChar w:fldCharType="end"/>
    </w:r>
  </w:p>
  <w:p w14:paraId="314BD982" w14:textId="77777777" w:rsidR="005D3536" w:rsidRDefault="005D353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0C25" w14:textId="77777777" w:rsidR="005D3536" w:rsidRDefault="005D35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59F5" w14:textId="77777777" w:rsidR="006373E1" w:rsidRDefault="006373E1">
      <w:r>
        <w:separator/>
      </w:r>
    </w:p>
  </w:footnote>
  <w:footnote w:type="continuationSeparator" w:id="0">
    <w:p w14:paraId="052C55C4" w14:textId="77777777" w:rsidR="006373E1" w:rsidRDefault="0063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5A00" w14:textId="77777777" w:rsidR="005D3536" w:rsidRDefault="00641F6F">
    <w:pPr>
      <w:pStyle w:val="Kopfzeile"/>
    </w:pPr>
    <w:r>
      <w:rPr>
        <w:noProof/>
      </w:rPr>
      <mc:AlternateContent>
        <mc:Choice Requires="wps">
          <w:drawing>
            <wp:anchor distT="0" distB="0" distL="114300" distR="114300" simplePos="0" relativeHeight="502786048" behindDoc="1" locked="0" layoutInCell="1" allowOverlap="1" wp14:anchorId="420407F6" wp14:editId="2FB23CAA">
              <wp:simplePos x="0" y="0"/>
              <wp:positionH relativeFrom="margin">
                <wp:align>center</wp:align>
              </wp:positionH>
              <wp:positionV relativeFrom="margin">
                <wp:align>center</wp:align>
              </wp:positionV>
              <wp:extent cx="7440291" cy="676269"/>
              <wp:effectExtent l="0" t="0" r="0" b="0"/>
              <wp:wrapNone/>
              <wp:docPr id="2" name="Rectangle 2"/>
              <wp:cNvGraphicFramePr/>
              <a:graphic xmlns:a="http://schemas.openxmlformats.org/drawingml/2006/main">
                <a:graphicData uri="http://schemas.microsoft.com/office/word/2010/wordprocessingShape">
                  <wps:wsp>
                    <wps:cNvSpPr/>
                    <wps:spPr bwMode="auto">
                      <a:xfrm rot="18900000">
                        <a:off x="0" y="0"/>
                        <a:ext cx="7440295" cy="676275"/>
                      </a:xfrm>
                      <a:prstGeom prst="rect">
                        <a:avLst/>
                      </a:prstGeom>
                      <a:noFill/>
                    </wps:spPr>
                    <wps:txbx>
                      <w:txbxContent>
                        <w:p w14:paraId="318E9AED" w14:textId="77777777" w:rsidR="005D3536" w:rsidRDefault="00641F6F">
                          <w:pPr>
                            <w:jc w:val="center"/>
                            <w:rPr>
                              <w:rFonts w:ascii="Arial" w:hAnsi="Arial"/>
                              <w:color w:val="538135"/>
                              <w:sz w:val="2"/>
                              <w:szCs w:val="2"/>
                              <w14:textOutline w14:w="12700" w14:cap="flat" w14:cmpd="sng" w14:algn="ctr">
                                <w14:noFill/>
                                <w14:prstDash w14:val="solid"/>
                                <w14:bevel/>
                              </w14:textOutline>
                            </w:rPr>
                          </w:pPr>
                          <w:r>
                            <w:rPr>
                              <w:rFonts w:ascii="Arial" w:hAnsi="Arial"/>
                              <w:color w:val="538135"/>
                              <w:sz w:val="2"/>
                              <w:szCs w:val="2"/>
                              <w14:textOutline w14:w="12700" w14:cap="flat" w14:cmpd="sng" w14:algn="ctr">
                                <w14:noFill/>
                                <w14:prstDash w14:val="solid"/>
                                <w14:bevel/>
                              </w14:textOutline>
                            </w:rPr>
                            <w:t>Nur für interne Verwendung</w:t>
                          </w:r>
                        </w:p>
                      </w:txbxContent>
                    </wps:txbx>
                    <wps:bodyPr lIns="0" tIns="0" rIns="0" bIns="0" numCol="1">
                      <a:prstTxWarp prst="textPlain">
                        <a:avLst>
                          <a:gd name="adj" fmla="val 50000"/>
                        </a:avLst>
                      </a:prstTxWarp>
                    </wps:bodyPr>
                  </wps:wsp>
                </a:graphicData>
              </a:graphic>
              <wp14:sizeRelH relativeFrom="margin">
                <wp14:pctWidth>0</wp14:pctWidth>
              </wp14:sizeRelH>
              <wp14:sizeRelV relativeFrom="margin">
                <wp14:pctHeight>0</wp14:pctHeight>
              </wp14:sizeRelV>
            </wp:anchor>
          </w:drawing>
        </mc:Choice>
        <mc:Fallback>
          <w:pict>
            <v:rect w14:anchorId="420407F6" id="Rectangle 2" o:spid="_x0000_s1026" style="position:absolute;margin-left:0;margin-top:0;width:585.85pt;height:53.25pt;rotation:-45;z-index:-530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" filled="f" stroked="f">
              <v:textbox inset="0,0,0,0">
                <w:txbxContent>
                  <w:p w14:paraId="318E9AED" w14:textId="77777777" w:rsidR="005D3536" w:rsidRDefault="00641F6F">
                    <w:pPr>
                      <w:jc w:val="center"/>
                      <w:rPr>
                        <w:rFonts w:ascii="Arial" w:hAnsi="Arial"/>
                        <w:color w:val="538135"/>
                        <w:sz w:val="2"/>
                        <w:szCs w:val="2"/>
                        <w14:textOutline w14:w="12700" w14:cap="flat" w14:cmpd="sng" w14:algn="ctr">
                          <w14:noFill/>
                          <w14:prstDash w14:val="solid"/>
                          <w14:bevel/>
                        </w14:textOutline>
                      </w:rPr>
                    </w:pPr>
                    <w:r>
                      <w:rPr>
                        <w:rFonts w:ascii="Arial" w:hAnsi="Arial"/>
                        <w:color w:val="538135"/>
                        <w:sz w:val="2"/>
                        <w:szCs w:val="2"/>
                        <w14:textOutline w14:w="12700" w14:cap="flat" w14:cmpd="sng" w14:algn="ctr">
                          <w14:noFill/>
                          <w14:prstDash w14:val="solid"/>
                          <w14:bevel/>
                        </w14:textOutline>
                      </w:rPr>
                      <w:t>Nur für interne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2126" w14:textId="77777777" w:rsidR="005D3536" w:rsidRDefault="00641F6F">
    <w:pPr>
      <w:pStyle w:val="Kopfzeile"/>
    </w:pPr>
    <w:r>
      <w:rPr>
        <w:noProof/>
      </w:rPr>
      <mc:AlternateContent>
        <mc:Choice Requires="wps">
          <w:drawing>
            <wp:anchor distT="0" distB="0" distL="114300" distR="114300" simplePos="0" relativeHeight="502788096" behindDoc="1" locked="0" layoutInCell="1" allowOverlap="1" wp14:anchorId="63CE067E" wp14:editId="71DC0D93">
              <wp:simplePos x="0" y="0"/>
              <wp:positionH relativeFrom="margin">
                <wp:align>center</wp:align>
              </wp:positionH>
              <wp:positionV relativeFrom="margin">
                <wp:align>center</wp:align>
              </wp:positionV>
              <wp:extent cx="7440291" cy="676269"/>
              <wp:effectExtent l="0" t="0" r="0" b="0"/>
              <wp:wrapNone/>
              <wp:docPr id="1" name="Rectangle 1"/>
              <wp:cNvGraphicFramePr/>
              <a:graphic xmlns:a="http://schemas.openxmlformats.org/drawingml/2006/main">
                <a:graphicData uri="http://schemas.microsoft.com/office/word/2010/wordprocessingShape">
                  <wps:wsp>
                    <wps:cNvSpPr/>
                    <wps:spPr bwMode="auto">
                      <a:xfrm rot="18900000">
                        <a:off x="0" y="0"/>
                        <a:ext cx="7440295" cy="676275"/>
                      </a:xfrm>
                      <a:prstGeom prst="rect">
                        <a:avLst/>
                      </a:prstGeom>
                      <a:noFill/>
                    </wps:spPr>
                    <wps:txbx>
                      <w:txbxContent>
                        <w:p w14:paraId="757E94BC" w14:textId="77777777" w:rsidR="005D3536" w:rsidRDefault="00641F6F">
                          <w:pPr>
                            <w:jc w:val="center"/>
                            <w:rPr>
                              <w:rFonts w:ascii="Arial" w:hAnsi="Arial"/>
                              <w:color w:val="538135"/>
                              <w:sz w:val="2"/>
                              <w:szCs w:val="2"/>
                              <w14:textOutline w14:w="12700" w14:cap="flat" w14:cmpd="sng" w14:algn="ctr">
                                <w14:noFill/>
                                <w14:prstDash w14:val="solid"/>
                                <w14:bevel/>
                              </w14:textOutline>
                            </w:rPr>
                          </w:pPr>
                          <w:r>
                            <w:rPr>
                              <w:rFonts w:ascii="Arial" w:hAnsi="Arial"/>
                              <w:color w:val="538135"/>
                              <w:sz w:val="2"/>
                              <w:szCs w:val="2"/>
                              <w14:textOutline w14:w="12700" w14:cap="flat" w14:cmpd="sng" w14:algn="ctr">
                                <w14:noFill/>
                                <w14:prstDash w14:val="solid"/>
                                <w14:bevel/>
                              </w14:textOutline>
                            </w:rPr>
                            <w:t>Nur für interne Verwendung</w:t>
                          </w:r>
                        </w:p>
                      </w:txbxContent>
                    </wps:txbx>
                    <wps:bodyPr lIns="0" tIns="0" rIns="0" bIns="0" numCol="1">
                      <a:prstTxWarp prst="textPlain">
                        <a:avLst>
                          <a:gd name="adj" fmla="val 50000"/>
                        </a:avLst>
                      </a:prstTxWarp>
                    </wps:bodyPr>
                  </wps:wsp>
                </a:graphicData>
              </a:graphic>
              <wp14:sizeRelH relativeFrom="margin">
                <wp14:pctWidth>0</wp14:pctWidth>
              </wp14:sizeRelH>
              <wp14:sizeRelV relativeFrom="margin">
                <wp14:pctHeight>0</wp14:pctHeight>
              </wp14:sizeRelV>
            </wp:anchor>
          </w:drawing>
        </mc:Choice>
        <mc:Fallback>
          <w:pict>
            <v:rect w14:anchorId="63CE067E" id="Rectangle 1" o:spid="_x0000_s1027" style="position:absolute;margin-left:0;margin-top:0;width:585.85pt;height:53.25pt;rotation:-45;z-index:-528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" filled="f" stroked="f">
              <v:textbox inset="0,0,0,0">
                <w:txbxContent>
                  <w:p w14:paraId="757E94BC" w14:textId="77777777" w:rsidR="005D3536" w:rsidRDefault="00641F6F">
                    <w:pPr>
                      <w:jc w:val="center"/>
                      <w:rPr>
                        <w:rFonts w:ascii="Arial" w:hAnsi="Arial"/>
                        <w:color w:val="538135"/>
                        <w:sz w:val="2"/>
                        <w:szCs w:val="2"/>
                        <w14:textOutline w14:w="12700" w14:cap="flat" w14:cmpd="sng" w14:algn="ctr">
                          <w14:noFill/>
                          <w14:prstDash w14:val="solid"/>
                          <w14:bevel/>
                        </w14:textOutline>
                      </w:rPr>
                    </w:pPr>
                    <w:r>
                      <w:rPr>
                        <w:rFonts w:ascii="Arial" w:hAnsi="Arial"/>
                        <w:color w:val="538135"/>
                        <w:sz w:val="2"/>
                        <w:szCs w:val="2"/>
                        <w14:textOutline w14:w="12700" w14:cap="flat" w14:cmpd="sng" w14:algn="ctr">
                          <w14:noFill/>
                          <w14:prstDash w14:val="solid"/>
                          <w14:bevel/>
                        </w14:textOutline>
                      </w:rPr>
                      <w:t>Nur für interne Verwendung</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4B4" w14:textId="77777777" w:rsidR="005D3536" w:rsidRDefault="00641F6F">
    <w:pPr>
      <w:pStyle w:val="Kopfzeile"/>
    </w:pPr>
    <w:r>
      <w:rPr>
        <w:noProof/>
      </w:rPr>
      <mc:AlternateContent>
        <mc:Choice Requires="wps">
          <w:drawing>
            <wp:anchor distT="0" distB="0" distL="114300" distR="114300" simplePos="0" relativeHeight="502784000" behindDoc="1" locked="0" layoutInCell="1" allowOverlap="1" wp14:anchorId="2201BFA2" wp14:editId="38216DD0">
              <wp:simplePos x="0" y="0"/>
              <wp:positionH relativeFrom="margin">
                <wp:align>center</wp:align>
              </wp:positionH>
              <wp:positionV relativeFrom="margin">
                <wp:align>center</wp:align>
              </wp:positionV>
              <wp:extent cx="7440291" cy="676269"/>
              <wp:effectExtent l="0" t="0" r="0" b="0"/>
              <wp:wrapNone/>
              <wp:docPr id="3" name="Rectangle 3"/>
              <wp:cNvGraphicFramePr/>
              <a:graphic xmlns:a="http://schemas.openxmlformats.org/drawingml/2006/main">
                <a:graphicData uri="http://schemas.microsoft.com/office/word/2010/wordprocessingShape">
                  <wps:wsp>
                    <wps:cNvSpPr/>
                    <wps:spPr bwMode="auto">
                      <a:xfrm rot="18900000">
                        <a:off x="0" y="0"/>
                        <a:ext cx="7440295" cy="676275"/>
                      </a:xfrm>
                      <a:prstGeom prst="rect">
                        <a:avLst/>
                      </a:prstGeom>
                      <a:noFill/>
                    </wps:spPr>
                    <wps:txbx>
                      <w:txbxContent>
                        <w:p w14:paraId="3E08F514" w14:textId="77777777" w:rsidR="005D3536" w:rsidRDefault="00641F6F">
                          <w:pPr>
                            <w:jc w:val="center"/>
                            <w:rPr>
                              <w:rFonts w:ascii="Arial" w:hAnsi="Arial"/>
                              <w:color w:val="538135"/>
                              <w:sz w:val="2"/>
                              <w:szCs w:val="2"/>
                              <w14:textOutline w14:w="12700" w14:cap="flat" w14:cmpd="sng" w14:algn="ctr">
                                <w14:noFill/>
                                <w14:prstDash w14:val="solid"/>
                                <w14:bevel/>
                              </w14:textOutline>
                            </w:rPr>
                          </w:pPr>
                          <w:r>
                            <w:rPr>
                              <w:rFonts w:ascii="Arial" w:hAnsi="Arial"/>
                              <w:color w:val="538135"/>
                              <w:sz w:val="2"/>
                              <w:szCs w:val="2"/>
                              <w14:textOutline w14:w="12700" w14:cap="flat" w14:cmpd="sng" w14:algn="ctr">
                                <w14:noFill/>
                                <w14:prstDash w14:val="solid"/>
                                <w14:bevel/>
                              </w14:textOutline>
                            </w:rPr>
                            <w:t>Nur für interne Verwendung</w:t>
                          </w:r>
                        </w:p>
                      </w:txbxContent>
                    </wps:txbx>
                    <wps:bodyPr lIns="0" tIns="0" rIns="0" bIns="0" numCol="1">
                      <a:prstTxWarp prst="textPlain">
                        <a:avLst>
                          <a:gd name="adj" fmla="val 50000"/>
                        </a:avLst>
                      </a:prstTxWarp>
                    </wps:bodyPr>
                  </wps:wsp>
                </a:graphicData>
              </a:graphic>
              <wp14:sizeRelH relativeFrom="margin">
                <wp14:pctWidth>0</wp14:pctWidth>
              </wp14:sizeRelH>
              <wp14:sizeRelV relativeFrom="margin">
                <wp14:pctHeight>0</wp14:pctHeight>
              </wp14:sizeRelV>
            </wp:anchor>
          </w:drawing>
        </mc:Choice>
        <mc:Fallback>
          <w:pict>
            <v:rect w14:anchorId="2201BFA2" id="Rectangle 3" o:spid="_x0000_s1028" style="position:absolute;margin-left:0;margin-top:0;width:585.85pt;height:53.25pt;rotation:-45;z-index:-532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" filled="f" stroked="f">
              <v:textbox inset="0,0,0,0">
                <w:txbxContent>
                  <w:p w14:paraId="3E08F514" w14:textId="77777777" w:rsidR="005D3536" w:rsidRDefault="00641F6F">
                    <w:pPr>
                      <w:jc w:val="center"/>
                      <w:rPr>
                        <w:rFonts w:ascii="Arial" w:hAnsi="Arial"/>
                        <w:color w:val="538135"/>
                        <w:sz w:val="2"/>
                        <w:szCs w:val="2"/>
                        <w14:textOutline w14:w="12700" w14:cap="flat" w14:cmpd="sng" w14:algn="ctr">
                          <w14:noFill/>
                          <w14:prstDash w14:val="solid"/>
                          <w14:bevel/>
                        </w14:textOutline>
                      </w:rPr>
                    </w:pPr>
                    <w:r>
                      <w:rPr>
                        <w:rFonts w:ascii="Arial" w:hAnsi="Arial"/>
                        <w:color w:val="538135"/>
                        <w:sz w:val="2"/>
                        <w:szCs w:val="2"/>
                        <w14:textOutline w14:w="12700" w14:cap="flat" w14:cmpd="sng" w14:algn="ctr">
                          <w14:noFill/>
                          <w14:prstDash w14:val="solid"/>
                          <w14:bevel/>
                        </w14:textOutline>
                      </w:rPr>
                      <w:t>Nur für interne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04B77"/>
    <w:multiLevelType w:val="hybridMultilevel"/>
    <w:tmpl w:val="919471E8"/>
    <w:lvl w:ilvl="0" w:tplc="452C22FA">
      <w:start w:val="1"/>
      <w:numFmt w:val="decimal"/>
      <w:lvlText w:val="%1."/>
      <w:lvlJc w:val="left"/>
      <w:pPr>
        <w:tabs>
          <w:tab w:val="left" w:pos="720"/>
        </w:tabs>
        <w:ind w:left="720" w:hanging="354"/>
      </w:pPr>
    </w:lvl>
    <w:lvl w:ilvl="1" w:tplc="5884396A">
      <w:start w:val="1"/>
      <w:numFmt w:val="decimal"/>
      <w:lvlText w:val="%2."/>
      <w:lvlJc w:val="left"/>
      <w:pPr>
        <w:tabs>
          <w:tab w:val="left" w:pos="1440"/>
        </w:tabs>
        <w:ind w:left="1440" w:hanging="354"/>
      </w:pPr>
    </w:lvl>
    <w:lvl w:ilvl="2" w:tplc="EE66490C">
      <w:start w:val="1"/>
      <w:numFmt w:val="decimal"/>
      <w:lvlText w:val="%3."/>
      <w:lvlJc w:val="left"/>
      <w:pPr>
        <w:tabs>
          <w:tab w:val="left" w:pos="2160"/>
        </w:tabs>
        <w:ind w:left="2160" w:hanging="354"/>
      </w:pPr>
    </w:lvl>
    <w:lvl w:ilvl="3" w:tplc="DBB67CC4">
      <w:start w:val="1"/>
      <w:numFmt w:val="decimal"/>
      <w:lvlText w:val="%4."/>
      <w:lvlJc w:val="left"/>
      <w:pPr>
        <w:tabs>
          <w:tab w:val="left" w:pos="2880"/>
        </w:tabs>
        <w:ind w:left="2880" w:hanging="354"/>
      </w:pPr>
    </w:lvl>
    <w:lvl w:ilvl="4" w:tplc="E844FD86">
      <w:start w:val="1"/>
      <w:numFmt w:val="decimal"/>
      <w:lvlText w:val="%5."/>
      <w:lvlJc w:val="left"/>
      <w:pPr>
        <w:tabs>
          <w:tab w:val="left" w:pos="3600"/>
        </w:tabs>
        <w:ind w:left="3600" w:hanging="354"/>
      </w:pPr>
    </w:lvl>
    <w:lvl w:ilvl="5" w:tplc="8A34560C">
      <w:start w:val="1"/>
      <w:numFmt w:val="decimal"/>
      <w:lvlText w:val="%6."/>
      <w:lvlJc w:val="left"/>
      <w:pPr>
        <w:tabs>
          <w:tab w:val="left" w:pos="4320"/>
        </w:tabs>
        <w:ind w:left="4320" w:hanging="354"/>
      </w:pPr>
    </w:lvl>
    <w:lvl w:ilvl="6" w:tplc="6728E1D4">
      <w:start w:val="1"/>
      <w:numFmt w:val="decimal"/>
      <w:lvlText w:val="%7."/>
      <w:lvlJc w:val="left"/>
      <w:pPr>
        <w:tabs>
          <w:tab w:val="left" w:pos="5040"/>
        </w:tabs>
        <w:ind w:left="5040" w:hanging="354"/>
      </w:pPr>
    </w:lvl>
    <w:lvl w:ilvl="7" w:tplc="230C0DC6">
      <w:start w:val="1"/>
      <w:numFmt w:val="decimal"/>
      <w:lvlText w:val="%8."/>
      <w:lvlJc w:val="left"/>
      <w:pPr>
        <w:tabs>
          <w:tab w:val="left" w:pos="5760"/>
        </w:tabs>
        <w:ind w:left="5760" w:hanging="354"/>
      </w:pPr>
    </w:lvl>
    <w:lvl w:ilvl="8" w:tplc="DF8ED75C">
      <w:start w:val="1"/>
      <w:numFmt w:val="decimal"/>
      <w:lvlText w:val="%9."/>
      <w:lvlJc w:val="left"/>
      <w:pPr>
        <w:tabs>
          <w:tab w:val="left" w:pos="6480"/>
        </w:tabs>
        <w:ind w:left="6480" w:hanging="354"/>
      </w:pPr>
    </w:lvl>
  </w:abstractNum>
  <w:abstractNum w:abstractNumId="1" w15:restartNumberingAfterBreak="0">
    <w:nsid w:val="61D4555D"/>
    <w:multiLevelType w:val="hybridMultilevel"/>
    <w:tmpl w:val="A16EA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6294105">
    <w:abstractNumId w:val="0"/>
  </w:num>
  <w:num w:numId="2" w16cid:durableId="453792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36"/>
    <w:rsid w:val="00050FC2"/>
    <w:rsid w:val="00220AB7"/>
    <w:rsid w:val="002F13BB"/>
    <w:rsid w:val="00475E2E"/>
    <w:rsid w:val="005D3536"/>
    <w:rsid w:val="006373E1"/>
    <w:rsid w:val="00641F6F"/>
    <w:rsid w:val="006845D9"/>
    <w:rsid w:val="006E6A41"/>
    <w:rsid w:val="00A16AD9"/>
    <w:rsid w:val="00A20E7D"/>
    <w:rsid w:val="00A86029"/>
    <w:rsid w:val="00B172A2"/>
    <w:rsid w:val="00BF63D3"/>
    <w:rsid w:val="00C14505"/>
    <w:rsid w:val="00C42DE6"/>
    <w:rsid w:val="00E828E9"/>
    <w:rsid w:val="00E91BE2"/>
    <w:rsid w:val="00E94FDE"/>
    <w:rsid w:val="00FE405B"/>
    <w:rsid w:val="00FE5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1F4E"/>
  <w15:docId w15:val="{EA8358CB-372B-4CC0-B0D0-4E75972B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outlineLvl w:val="0"/>
    </w:pPr>
    <w:rPr>
      <w:rFonts w:ascii="Arial" w:eastAsia="Arial" w:hAnsi="Arial" w:cs="Arial"/>
      <w:b/>
      <w:bCs/>
      <w:color w:val="000000" w:themeColor="text1"/>
      <w:sz w:val="48"/>
      <w:szCs w:val="48"/>
    </w:rPr>
  </w:style>
  <w:style w:type="paragraph" w:styleId="berschrift2">
    <w:name w:val="heading 2"/>
    <w:basedOn w:val="Standard"/>
    <w:next w:val="Standard"/>
    <w:uiPriority w:val="9"/>
    <w:unhideWhenUsed/>
    <w:qFormat/>
    <w:pPr>
      <w:keepNext/>
      <w:keepLines/>
      <w:spacing w:before="200"/>
      <w:outlineLvl w:val="1"/>
    </w:pPr>
    <w:rPr>
      <w:rFonts w:ascii="Arial" w:eastAsia="Arial" w:hAnsi="Arial" w:cs="Arial"/>
      <w:b/>
      <w:bCs/>
      <w:color w:val="000000" w:themeColor="text1"/>
      <w:sz w:val="40"/>
    </w:rPr>
  </w:style>
  <w:style w:type="paragraph" w:styleId="berschrift3">
    <w:name w:val="heading 3"/>
    <w:basedOn w:val="Standard"/>
    <w:next w:val="Standard"/>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berschrift4">
    <w:name w:val="heading 4"/>
    <w:basedOn w:val="Standard"/>
    <w:next w:val="Standard"/>
    <w:uiPriority w:val="9"/>
    <w:unhideWhenUsed/>
    <w:qFormat/>
    <w:pPr>
      <w:keepNext/>
      <w:keepLines/>
      <w:spacing w:before="200"/>
      <w:outlineLvl w:val="3"/>
    </w:pPr>
    <w:rPr>
      <w:rFonts w:ascii="Arial" w:eastAsia="Arial" w:hAnsi="Arial" w:cs="Arial"/>
      <w:color w:val="232323"/>
      <w:sz w:val="32"/>
      <w:szCs w:val="32"/>
    </w:rPr>
  </w:style>
  <w:style w:type="paragraph" w:styleId="berschrift5">
    <w:name w:val="heading 5"/>
    <w:basedOn w:val="Standard"/>
    <w:next w:val="Standard"/>
    <w:uiPriority w:val="9"/>
    <w:unhideWhenUsed/>
    <w:qFormat/>
    <w:pPr>
      <w:keepNext/>
      <w:keepLines/>
      <w:spacing w:before="200"/>
      <w:outlineLvl w:val="4"/>
    </w:pPr>
    <w:rPr>
      <w:rFonts w:ascii="Arial" w:eastAsia="Arial" w:hAnsi="Arial" w:cs="Arial"/>
      <w:b/>
      <w:bCs/>
      <w:color w:val="444444"/>
      <w:sz w:val="28"/>
      <w:szCs w:val="28"/>
    </w:rPr>
  </w:style>
  <w:style w:type="paragraph" w:styleId="berschrift6">
    <w:name w:val="heading 6"/>
    <w:basedOn w:val="Standard"/>
    <w:next w:val="Standard"/>
    <w:uiPriority w:val="9"/>
    <w:unhideWhenUsed/>
    <w:qFormat/>
    <w:pPr>
      <w:keepNext/>
      <w:keepLines/>
      <w:spacing w:before="20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outlineLvl w:val="6"/>
    </w:pPr>
    <w:rPr>
      <w:rFonts w:ascii="Arial" w:eastAsia="Arial" w:hAnsi="Arial" w:cs="Arial"/>
      <w:b/>
      <w:bCs/>
      <w:color w:val="606060"/>
    </w:rPr>
  </w:style>
  <w:style w:type="paragraph" w:styleId="berschrift8">
    <w:name w:val="heading 8"/>
    <w:basedOn w:val="Standard"/>
    <w:next w:val="Standard"/>
    <w:uiPriority w:val="9"/>
    <w:unhideWhenUsed/>
    <w:qFormat/>
    <w:pPr>
      <w:keepNext/>
      <w:keepLines/>
      <w:spacing w:before="200"/>
      <w:outlineLvl w:val="7"/>
    </w:pPr>
    <w:rPr>
      <w:rFonts w:ascii="Arial" w:eastAsia="Arial" w:hAnsi="Arial" w:cs="Arial"/>
      <w:color w:val="444444"/>
    </w:rPr>
  </w:style>
  <w:style w:type="paragraph" w:styleId="berschrift9">
    <w:name w:val="heading 9"/>
    <w:basedOn w:val="Standard"/>
    <w:next w:val="Standard"/>
    <w:uiPriority w:val="9"/>
    <w:unhideWhenUsed/>
    <w:qFormat/>
    <w:pPr>
      <w:keepNext/>
      <w:keepLines/>
      <w:spacing w:before="20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lemithellemGitternetz">
    <w:name w:val="Grid Table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itternetztabelle1hellAkzent1">
    <w:name w:val="Grid Table 1 Light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itternetztabelle1hellAkzent3">
    <w:name w:val="Grid Table 1 Light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itternetztabelle1hellAkzent4">
    <w:name w:val="Grid Table 1 Light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itternetztabelle1hellAkzent5">
    <w:name w:val="Grid Table 1 Light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itternetztabelle1hellAkzent6">
    <w:name w:val="Grid Table 1 Light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Akzent1">
    <w:name w:val="Grid Table 2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itternetztabelle2Akzent2">
    <w:name w:val="Grid Table 2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2Akzent3">
    <w:name w:val="Grid Table 2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2Akzent4">
    <w:name w:val="Grid Table 2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2Akzent5">
    <w:name w:val="Grid Table 2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itternetztabelle2Akzent6">
    <w:name w:val="Grid Table 2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Akzent1">
    <w:name w:val="Grid Table 3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itternetztabelle3Akzent2">
    <w:name w:val="Grid Table 3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3Akzent3">
    <w:name w:val="Grid Table 3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3Akzent4">
    <w:name w:val="Grid Table 3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3Akzent5">
    <w:name w:val="Grid Table 3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itternetztabelle3Akzent6">
    <w:name w:val="Grid Table 3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Akzent1">
    <w:name w:val="Grid Table 4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itternetztabelle4Akzent2">
    <w:name w:val="Grid Table 4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itternetztabelle4Akzent3">
    <w:name w:val="Grid Table 4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itternetztabelle4Akzent4">
    <w:name w:val="Grid Table 4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itternetztabelle4Akzent5">
    <w:name w:val="Grid Table 4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itternetztabelle4Akzent6">
    <w:name w:val="Grid Table 4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Akzent2">
    <w:name w:val="Grid Table 5 Dark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itternetztabelle5dunkelAkzent3">
    <w:name w:val="Grid Table 5 Dark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itternetztabelle5dunkelAkzent5">
    <w:name w:val="Grid Table 5 Dark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itternetztabelle5dunkelAkzent6">
    <w:name w:val="Grid Table 5 Dark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Listentabelle1hellAkzent1">
    <w:name w:val="List Table 1 Light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entabelle1hellAkzent2">
    <w:name w:val="List Table 1 Light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entabelle1hellAkzent3">
    <w:name w:val="List Table 1 Light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entabelle1hellAkzent4">
    <w:name w:val="List Table 1 Light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entabelle1hellAkzent5">
    <w:name w:val="List Table 1 Light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entabelle1hellAkzent6">
    <w:name w:val="List Table 1 Light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Akzent1">
    <w:name w:val="List Table 2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entabelle2Akzent2">
    <w:name w:val="List Table 2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entabelle2Akzent3">
    <w:name w:val="List Table 2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entabelle2Akzent4">
    <w:name w:val="List Table 2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entabelle2Akzent5">
    <w:name w:val="List Table 2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entabelle2Akzent6">
    <w:name w:val="List Table 2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Akzent1">
    <w:name w:val="List Table 3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entabelle3Akzent2">
    <w:name w:val="List Table 3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entabelle3Akzent3">
    <w:name w:val="List Table 3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entabelle3Akzent4">
    <w:name w:val="List Table 3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entabelle3Akzent5">
    <w:name w:val="List Table 3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entabelle3Akzent6">
    <w:name w:val="List Table 3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Akzent1">
    <w:name w:val="List Table 4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entabelle4Akzent2">
    <w:name w:val="List Table 4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entabelle4Akzent3">
    <w:name w:val="List Table 4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entabelle4Akzent4">
    <w:name w:val="List Table 4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entabelle4Akzent5">
    <w:name w:val="List Table 4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entabelle4Akzent6">
    <w:name w:val="List Table 4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Akzent1">
    <w:name w:val="List Table 5 Dark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entabelle5dunkelAkzent2">
    <w:name w:val="List Table 5 Dark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entabelle5dunkelAkzent3">
    <w:name w:val="List Table 5 Dark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entabelle5dunkelAkzent4">
    <w:name w:val="List Table 5 Dark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entabelle5dunkelAkzent5">
    <w:name w:val="List Table 5 Dark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entabelle5dunkelAkzent6">
    <w:name w:val="List Table 5 Dark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character" w:customStyle="1" w:styleId="ZitatZchn">
    <w:name w:val="Zitat Zchn"/>
    <w:link w:val="Zitat"/>
    <w:uiPriority w:val="29"/>
    <w:rPr>
      <w:i/>
    </w:rPr>
  </w:style>
  <w:style w:type="character" w:customStyle="1" w:styleId="IntensivesZitatZchn">
    <w:name w:val="Intensives Zitat Zchn"/>
    <w:link w:val="IntensivesZitat"/>
    <w:uiPriority w:val="30"/>
    <w:rPr>
      <w:i/>
    </w:rPr>
  </w:style>
  <w:style w:type="character" w:customStyle="1" w:styleId="KopfzeileZchn1">
    <w:name w:val="Kopfzeile Zchn1"/>
    <w:basedOn w:val="Absatz-Standardschriftart"/>
    <w:link w:val="Kopfzeile"/>
    <w:uiPriority w:val="99"/>
  </w:style>
  <w:style w:type="character" w:customStyle="1" w:styleId="FuzeileZchn1">
    <w:name w:val="Fußzeile Zchn1"/>
    <w:basedOn w:val="Absatz-Standardschriftart"/>
    <w:link w:val="Fuzeile"/>
    <w:uiPriority w:val="99"/>
  </w:style>
  <w:style w:type="table" w:customStyle="1" w:styleId="TableGridLight1">
    <w:name w:val="Table Grid Light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1">
    <w:name w:val="Grid Table 2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1">
    <w:name w:val="Grid Table 2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1">
    <w:name w:val="Grid Table 3 - Acc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1">
    <w:name w:val="Grid Table 3 - Acc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1">
    <w:name w:val="Grid Table 4 - Acc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1">
    <w:name w:val="Grid Table 4 - Acc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1">
    <w:name w:val="Grid Table 5 Dark - Acc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1">
    <w:name w:val="Grid Table 5 Dark - Acc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1">
    <w:name w:val="List Table 1 Light - Acc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1">
    <w:name w:val="List Table 1 Light - Acc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1">
    <w:name w:val="List Table 2 - Acc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1">
    <w:name w:val="List Table 2 - Acc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1">
    <w:name w:val="List Table 4 - Acc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1">
    <w:name w:val="List Table 4 - Acc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1">
    <w:name w:val="List Table 5 Dark - Acc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1">
    <w:name w:val="List Table 5 Dark - Acc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Heading1Char">
    <w:name w:val="Heading 1 Char"/>
    <w:basedOn w:val="Absatz-Standardschriftart"/>
    <w:uiPriority w:val="9"/>
    <w:rPr>
      <w:rFonts w:ascii="Arial" w:eastAsia="Arial" w:hAnsi="Arial" w:cs="Arial"/>
      <w:b/>
      <w:bCs/>
      <w:color w:val="000000" w:themeColor="text1"/>
      <w:sz w:val="48"/>
      <w:szCs w:val="48"/>
    </w:rPr>
  </w:style>
  <w:style w:type="character" w:customStyle="1" w:styleId="Heading2Char">
    <w:name w:val="Heading 2 Char"/>
    <w:basedOn w:val="Absatz-Standardschriftart"/>
    <w:uiPriority w:val="9"/>
    <w:rPr>
      <w:rFonts w:ascii="Arial" w:eastAsia="Arial" w:hAnsi="Arial" w:cs="Arial"/>
      <w:b/>
      <w:bCs/>
      <w:color w:val="000000" w:themeColor="text1"/>
      <w:sz w:val="40"/>
      <w:szCs w:val="40"/>
    </w:rPr>
  </w:style>
  <w:style w:type="character" w:customStyle="1" w:styleId="Heading3Char">
    <w:name w:val="Heading 3 Char"/>
    <w:basedOn w:val="Absatz-Standardschriftart"/>
    <w:uiPriority w:val="9"/>
    <w:rPr>
      <w:rFonts w:ascii="Arial" w:eastAsia="Arial" w:hAnsi="Arial" w:cs="Arial"/>
      <w:b/>
      <w:bCs/>
      <w:i/>
      <w:iCs/>
      <w:color w:val="000000" w:themeColor="text1"/>
      <w:sz w:val="40"/>
      <w:szCs w:val="40"/>
    </w:rPr>
  </w:style>
  <w:style w:type="character" w:customStyle="1" w:styleId="Heading4Char">
    <w:name w:val="Heading 4 Char"/>
    <w:basedOn w:val="Absatz-Standardschriftart"/>
    <w:uiPriority w:val="9"/>
    <w:rPr>
      <w:rFonts w:ascii="Arial" w:eastAsia="Arial" w:hAnsi="Arial" w:cs="Arial"/>
      <w:color w:val="232323"/>
      <w:sz w:val="32"/>
      <w:szCs w:val="32"/>
    </w:rPr>
  </w:style>
  <w:style w:type="character" w:customStyle="1" w:styleId="Heading5Char">
    <w:name w:val="Heading 5 Char"/>
    <w:basedOn w:val="Absatz-Standardschriftart"/>
    <w:uiPriority w:val="9"/>
    <w:rPr>
      <w:rFonts w:ascii="Arial" w:eastAsia="Arial" w:hAnsi="Arial" w:cs="Arial"/>
      <w:b/>
      <w:bCs/>
      <w:color w:val="444444"/>
      <w:sz w:val="28"/>
      <w:szCs w:val="28"/>
    </w:rPr>
  </w:style>
  <w:style w:type="character" w:customStyle="1" w:styleId="Heading6Char">
    <w:name w:val="Heading 6 Char"/>
    <w:basedOn w:val="Absatz-Standardschriftart"/>
    <w:uiPriority w:val="9"/>
    <w:rPr>
      <w:rFonts w:ascii="Arial" w:eastAsia="Arial" w:hAnsi="Arial" w:cs="Arial"/>
      <w:i/>
      <w:iCs/>
      <w:color w:val="232323"/>
      <w:sz w:val="28"/>
      <w:szCs w:val="28"/>
    </w:rPr>
  </w:style>
  <w:style w:type="character" w:customStyle="1" w:styleId="Heading7Char">
    <w:name w:val="Heading 7 Char"/>
    <w:basedOn w:val="Absatz-Standardschriftart"/>
    <w:uiPriority w:val="9"/>
    <w:rPr>
      <w:rFonts w:ascii="Arial" w:eastAsia="Arial" w:hAnsi="Arial" w:cs="Arial"/>
      <w:b/>
      <w:bCs/>
      <w:color w:val="606060"/>
      <w:sz w:val="28"/>
      <w:szCs w:val="28"/>
    </w:rPr>
  </w:style>
  <w:style w:type="character" w:customStyle="1" w:styleId="Heading8Char">
    <w:name w:val="Heading 8 Char"/>
    <w:basedOn w:val="Absatz-Standardschriftart"/>
    <w:uiPriority w:val="9"/>
    <w:rPr>
      <w:rFonts w:ascii="Arial" w:eastAsia="Arial" w:hAnsi="Arial" w:cs="Arial"/>
      <w:color w:val="444444"/>
      <w:sz w:val="24"/>
      <w:szCs w:val="24"/>
    </w:rPr>
  </w:style>
  <w:style w:type="character" w:customStyle="1" w:styleId="Heading9Char">
    <w:name w:val="Heading 9 Char"/>
    <w:basedOn w:val="Absatz-Standardschriftart"/>
    <w:uiPriority w:val="9"/>
    <w:rPr>
      <w:rFonts w:ascii="Arial" w:eastAsia="Arial" w:hAnsi="Arial" w:cs="Arial"/>
      <w:i/>
      <w:iCs/>
      <w:color w:val="444444"/>
      <w:sz w:val="23"/>
      <w:szCs w:val="23"/>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rPr>
      <w:color w:val="000000"/>
    </w:rPr>
  </w:style>
  <w:style w:type="paragraph" w:styleId="Titel">
    <w:name w:val="Title"/>
    <w:basedOn w:val="Standard"/>
    <w:next w:val="Standard"/>
    <w:link w:val="TitelZchn"/>
    <w:uiPriority w:val="10"/>
    <w:qFormat/>
    <w:pPr>
      <w:pBdr>
        <w:bottom w:val="single" w:sz="24" w:space="0" w:color="000000"/>
      </w:pBdr>
      <w:spacing w:before="300" w:after="80"/>
      <w:outlineLvl w:val="0"/>
    </w:pPr>
    <w:rPr>
      <w:b/>
      <w:color w:val="000000"/>
      <w:sz w:val="72"/>
    </w:rPr>
  </w:style>
  <w:style w:type="paragraph" w:styleId="Untertitel">
    <w:name w:val="Subtitle"/>
    <w:basedOn w:val="Standard"/>
    <w:next w:val="Standard"/>
    <w:link w:val="UntertitelZchn"/>
    <w:uiPriority w:val="11"/>
    <w:qFormat/>
    <w:pPr>
      <w:outlineLvl w:val="0"/>
    </w:pPr>
    <w:rPr>
      <w:i/>
      <w:color w:val="444444"/>
      <w:sz w:val="52"/>
    </w:rPr>
  </w:style>
  <w:style w:type="paragraph" w:styleId="Zitat">
    <w:name w:val="Quote"/>
    <w:basedOn w:val="Standard"/>
    <w:next w:val="Standard"/>
    <w:link w:val="ZitatZchn"/>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link w:val="IntensivesZitatZchn"/>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 w:val="20"/>
      <w:szCs w:val="20"/>
      <w:lang w:eastAsia="zh-CN"/>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lang w:eastAsia="zh-CN"/>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 w:val="20"/>
      <w:szCs w:val="20"/>
      <w:lang w:eastAsia="zh-CN"/>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 w:val="20"/>
      <w:szCs w:val="20"/>
      <w:lang w:eastAsia="zh-CN"/>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 w:val="20"/>
      <w:szCs w:val="20"/>
      <w:lang w:eastAsia="zh-CN"/>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lang w:eastAsia="zh-CN"/>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lang w:eastAsia="zh-CN"/>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 w:val="20"/>
      <w:szCs w:val="20"/>
      <w:lang w:eastAsia="zh-C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lang w:eastAsia="zh-CN"/>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 w:val="20"/>
      <w:szCs w:val="20"/>
      <w:lang w:eastAsia="zh-C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 w:val="20"/>
      <w:szCs w:val="20"/>
      <w:lang w:eastAsia="zh-CN"/>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 w:val="20"/>
      <w:szCs w:val="20"/>
      <w:lang w:eastAsia="zh-C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lang w:eastAsia="zh-CN"/>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lang w:eastAsia="zh-CN"/>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uiPriority w:val="99"/>
    <w:semiHidden/>
    <w:unhideWhenUsed/>
    <w:rPr>
      <w:sz w:val="20"/>
    </w:rPr>
  </w:style>
  <w:style w:type="character" w:customStyle="1" w:styleId="FootnoteTextChar">
    <w:name w:val="Footnote Text Char"/>
    <w:basedOn w:val="Absatz-Standardschriftart"/>
    <w:uiPriority w:val="99"/>
    <w:semiHidden/>
    <w:rPr>
      <w:sz w:val="20"/>
    </w:rPr>
  </w:style>
  <w:style w:type="character" w:styleId="Funotenzeichen">
    <w:name w:val="foot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StandardWeb">
    <w:name w:val="Normal (Web)"/>
    <w:basedOn w:val="Standard"/>
    <w:uiPriority w:val="99"/>
    <w:semiHidden/>
    <w:unhideWhenUsed/>
    <w:pPr>
      <w:spacing w:before="100" w:beforeAutospacing="1" w:after="100" w:afterAutospacing="1"/>
    </w:pPr>
    <w:rPr>
      <w:rFonts w:ascii="Times New Roman" w:hAnsi="Times New Roman" w:cs="Times New Roman"/>
      <w:lang w:eastAsia="de-DE"/>
    </w:rPr>
  </w:style>
  <w:style w:type="paragraph" w:styleId="Kopfzeile">
    <w:name w:val="header"/>
    <w:basedOn w:val="Standard"/>
    <w:link w:val="KopfzeileZchn1"/>
    <w:uiPriority w:val="99"/>
    <w:unhideWhenUsed/>
    <w:pPr>
      <w:tabs>
        <w:tab w:val="center" w:pos="4536"/>
        <w:tab w:val="right" w:pos="9072"/>
      </w:tabs>
    </w:pPr>
  </w:style>
  <w:style w:type="character" w:customStyle="1" w:styleId="KopfzeileZchn">
    <w:name w:val="Kopfzeile Zchn"/>
    <w:basedOn w:val="Absatz-Standardschriftart"/>
    <w:uiPriority w:val="99"/>
  </w:style>
  <w:style w:type="paragraph" w:styleId="Fuzeile">
    <w:name w:val="footer"/>
    <w:basedOn w:val="Standard"/>
    <w:link w:val="FuzeileZchn1"/>
    <w:uiPriority w:val="99"/>
    <w:unhideWhenUsed/>
    <w:pPr>
      <w:tabs>
        <w:tab w:val="center" w:pos="4536"/>
        <w:tab w:val="right" w:pos="9072"/>
      </w:tabs>
    </w:pPr>
  </w:style>
  <w:style w:type="character" w:customStyle="1" w:styleId="FuzeileZchn">
    <w:name w:val="Fußzeile Zchn"/>
    <w:basedOn w:val="Absatz-Standardschriftart"/>
    <w:uiPriority w:val="99"/>
  </w:style>
  <w:style w:type="character" w:styleId="Seitenzahl">
    <w:name w:val="page number"/>
    <w:basedOn w:val="Absatz-Standardschriftart"/>
    <w:uiPriority w:val="99"/>
    <w:semiHidden/>
    <w:unhideWhenUsed/>
  </w:style>
  <w:style w:type="paragraph" w:styleId="Sprechblasentext">
    <w:name w:val="Balloon Text"/>
    <w:basedOn w:val="Standard"/>
    <w:uiPriority w:val="99"/>
    <w:semiHidden/>
    <w:unhideWhenUsed/>
    <w:rPr>
      <w:rFonts w:ascii="Times New Roman" w:hAnsi="Times New Roman" w:cs="Times New Roman"/>
      <w:sz w:val="18"/>
      <w:szCs w:val="18"/>
    </w:rPr>
  </w:style>
  <w:style w:type="character" w:customStyle="1" w:styleId="SprechblasentextZchn">
    <w:name w:val="Sprechblasentext Zchn"/>
    <w:basedOn w:val="Absatz-Standardschriftart"/>
    <w:uiPriority w:val="99"/>
    <w:semiHidden/>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4884">
      <w:bodyDiv w:val="1"/>
      <w:marLeft w:val="0"/>
      <w:marRight w:val="0"/>
      <w:marTop w:val="0"/>
      <w:marBottom w:val="0"/>
      <w:divBdr>
        <w:top w:val="none" w:sz="0" w:space="0" w:color="auto"/>
        <w:left w:val="none" w:sz="0" w:space="0" w:color="auto"/>
        <w:bottom w:val="none" w:sz="0" w:space="0" w:color="auto"/>
        <w:right w:val="none" w:sz="0" w:space="0" w:color="auto"/>
      </w:divBdr>
    </w:div>
    <w:div w:id="1150318668">
      <w:bodyDiv w:val="1"/>
      <w:marLeft w:val="0"/>
      <w:marRight w:val="0"/>
      <w:marTop w:val="0"/>
      <w:marBottom w:val="0"/>
      <w:divBdr>
        <w:top w:val="none" w:sz="0" w:space="0" w:color="auto"/>
        <w:left w:val="none" w:sz="0" w:space="0" w:color="auto"/>
        <w:bottom w:val="none" w:sz="0" w:space="0" w:color="auto"/>
        <w:right w:val="none" w:sz="0" w:space="0" w:color="auto"/>
      </w:divBdr>
    </w:div>
    <w:div w:id="18557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Philipp Kastell</cp:lastModifiedBy>
  <cp:revision>38</cp:revision>
  <dcterms:created xsi:type="dcterms:W3CDTF">2019-05-08T08:09:00Z</dcterms:created>
  <dcterms:modified xsi:type="dcterms:W3CDTF">2023-04-20T08:58:00Z</dcterms:modified>
</cp:coreProperties>
</file>